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BC923" w14:textId="77777777" w:rsidR="001F5675" w:rsidRPr="005F3916" w:rsidRDefault="00DB6A8B">
      <w:pPr>
        <w:rPr>
          <w:sz w:val="32"/>
        </w:rPr>
      </w:pPr>
      <w:r w:rsidRPr="005F3916">
        <w:rPr>
          <w:sz w:val="32"/>
        </w:rPr>
        <w:t xml:space="preserve">David Merritt, “Cosmology and Convention,” </w:t>
      </w:r>
      <w:r w:rsidRPr="005F3916">
        <w:rPr>
          <w:i/>
          <w:sz w:val="32"/>
        </w:rPr>
        <w:t>Studies in History and Philosophy of Modern</w:t>
      </w:r>
      <w:r w:rsidRPr="005F3916">
        <w:rPr>
          <w:sz w:val="32"/>
        </w:rPr>
        <w:t xml:space="preserve"> Physics 57 (2017) 41–52</w:t>
      </w:r>
    </w:p>
    <w:p w14:paraId="4E50389A" w14:textId="77777777" w:rsidR="00DB6A8B" w:rsidRPr="005F3916" w:rsidRDefault="00DB6A8B">
      <w:pPr>
        <w:rPr>
          <w:sz w:val="32"/>
        </w:rPr>
      </w:pPr>
    </w:p>
    <w:p w14:paraId="76985391" w14:textId="77777777" w:rsidR="00DB6A8B" w:rsidRPr="005F3916" w:rsidRDefault="00DB6A8B" w:rsidP="00FF6FC7">
      <w:pPr>
        <w:pBdr>
          <w:top w:val="single" w:sz="12" w:space="1" w:color="auto"/>
          <w:left w:val="single" w:sz="12" w:space="4" w:color="auto"/>
          <w:bottom w:val="single" w:sz="12" w:space="1" w:color="auto"/>
          <w:right w:val="single" w:sz="12" w:space="4" w:color="auto"/>
        </w:pBdr>
        <w:rPr>
          <w:sz w:val="32"/>
        </w:rPr>
      </w:pPr>
      <w:r w:rsidRPr="005F3916">
        <w:rPr>
          <w:sz w:val="32"/>
        </w:rPr>
        <w:t>Main claims:</w:t>
      </w:r>
    </w:p>
    <w:p w14:paraId="4CCAE9E5" w14:textId="77777777" w:rsidR="00DE530C" w:rsidRPr="005F3916" w:rsidRDefault="00DE530C" w:rsidP="00FF6FC7">
      <w:pPr>
        <w:pBdr>
          <w:top w:val="single" w:sz="12" w:space="1" w:color="auto"/>
          <w:left w:val="single" w:sz="12" w:space="4" w:color="auto"/>
          <w:bottom w:val="single" w:sz="12" w:space="1" w:color="auto"/>
          <w:right w:val="single" w:sz="12" w:space="4" w:color="auto"/>
        </w:pBdr>
        <w:rPr>
          <w:sz w:val="32"/>
        </w:rPr>
      </w:pPr>
    </w:p>
    <w:p w14:paraId="1F7BD8B9" w14:textId="77777777" w:rsidR="00DB6A8B" w:rsidRPr="005F3916" w:rsidRDefault="00DB6A8B" w:rsidP="00FF6FC7">
      <w:pPr>
        <w:pBdr>
          <w:top w:val="single" w:sz="12" w:space="1" w:color="auto"/>
          <w:left w:val="single" w:sz="12" w:space="4" w:color="auto"/>
          <w:bottom w:val="single" w:sz="12" w:space="1" w:color="auto"/>
          <w:right w:val="single" w:sz="12" w:space="4" w:color="auto"/>
        </w:pBdr>
        <w:rPr>
          <w:sz w:val="32"/>
        </w:rPr>
      </w:pPr>
      <w:r w:rsidRPr="005F3916">
        <w:rPr>
          <w:sz w:val="32"/>
        </w:rPr>
        <w:t>1. Dark matter and dark energy arise through the use of Popper’s deprecated “conventionalist stratagem” as a way of avoiding falsification.</w:t>
      </w:r>
    </w:p>
    <w:p w14:paraId="6D360593" w14:textId="77777777" w:rsidR="00DE530C" w:rsidRPr="005F3916" w:rsidRDefault="00DE530C" w:rsidP="00FF6FC7">
      <w:pPr>
        <w:pBdr>
          <w:top w:val="single" w:sz="12" w:space="1" w:color="auto"/>
          <w:left w:val="single" w:sz="12" w:space="4" w:color="auto"/>
          <w:bottom w:val="single" w:sz="12" w:space="1" w:color="auto"/>
          <w:right w:val="single" w:sz="12" w:space="4" w:color="auto"/>
        </w:pBdr>
        <w:rPr>
          <w:sz w:val="32"/>
        </w:rPr>
      </w:pPr>
    </w:p>
    <w:p w14:paraId="4C80C679" w14:textId="77777777" w:rsidR="00DB6A8B" w:rsidRPr="005F3916" w:rsidRDefault="00DB6A8B" w:rsidP="00FF6FC7">
      <w:pPr>
        <w:pBdr>
          <w:top w:val="single" w:sz="12" w:space="1" w:color="auto"/>
          <w:left w:val="single" w:sz="12" w:space="4" w:color="auto"/>
          <w:bottom w:val="single" w:sz="12" w:space="1" w:color="auto"/>
          <w:right w:val="single" w:sz="12" w:space="4" w:color="auto"/>
        </w:pBdr>
        <w:rPr>
          <w:sz w:val="32"/>
        </w:rPr>
      </w:pPr>
      <w:r w:rsidRPr="005F3916">
        <w:rPr>
          <w:sz w:val="32"/>
        </w:rPr>
        <w:t xml:space="preserve">2. The anomaly of the (purportedly) unexplained mass discrepancy-acceleration relation survives </w:t>
      </w:r>
      <w:r w:rsidR="00DE530C" w:rsidRPr="005F3916">
        <w:rPr>
          <w:sz w:val="32"/>
        </w:rPr>
        <w:t>through</w:t>
      </w:r>
      <w:r w:rsidRPr="005F3916">
        <w:rPr>
          <w:sz w:val="32"/>
        </w:rPr>
        <w:t xml:space="preserve"> another version of the conventionalist stratagem. It is ignored.</w:t>
      </w:r>
    </w:p>
    <w:p w14:paraId="034AE35B" w14:textId="77777777" w:rsidR="00DB6A8B" w:rsidRPr="005F3916" w:rsidRDefault="00DB6A8B" w:rsidP="00FF6FC7">
      <w:pPr>
        <w:pBdr>
          <w:top w:val="single" w:sz="12" w:space="1" w:color="auto"/>
          <w:left w:val="single" w:sz="12" w:space="4" w:color="auto"/>
          <w:bottom w:val="single" w:sz="12" w:space="1" w:color="auto"/>
          <w:right w:val="single" w:sz="12" w:space="4" w:color="auto"/>
        </w:pBdr>
        <w:rPr>
          <w:sz w:val="32"/>
        </w:rPr>
      </w:pPr>
    </w:p>
    <w:p w14:paraId="6F5C9715" w14:textId="77777777" w:rsidR="00DC430A" w:rsidRPr="005F3916" w:rsidRDefault="00DE530C" w:rsidP="00FF6FC7">
      <w:pPr>
        <w:pBdr>
          <w:top w:val="single" w:sz="12" w:space="1" w:color="auto"/>
          <w:left w:val="single" w:sz="12" w:space="4" w:color="auto"/>
          <w:bottom w:val="single" w:sz="12" w:space="1" w:color="auto"/>
          <w:right w:val="single" w:sz="12" w:space="4" w:color="auto"/>
        </w:pBdr>
        <w:rPr>
          <w:sz w:val="32"/>
        </w:rPr>
      </w:pPr>
      <w:r w:rsidRPr="005F3916">
        <w:rPr>
          <w:sz w:val="32"/>
        </w:rPr>
        <w:t>3. The cosmologists’ “concordance” model is weaker support for the standard model of cosmology than the convergences celebrated in Perrin’s multiple measurements of Avogadro’s number.</w:t>
      </w:r>
    </w:p>
    <w:p w14:paraId="47BEB3AF" w14:textId="77777777" w:rsidR="00DC430A" w:rsidRPr="005F3916" w:rsidRDefault="00DC430A">
      <w:pPr>
        <w:rPr>
          <w:sz w:val="32"/>
        </w:rPr>
      </w:pPr>
    </w:p>
    <w:p w14:paraId="0C31BB54" w14:textId="1DC262B6" w:rsidR="00B5096F" w:rsidRPr="005F3916" w:rsidRDefault="00B5096F">
      <w:pPr>
        <w:rPr>
          <w:sz w:val="32"/>
        </w:rPr>
      </w:pPr>
      <w:r w:rsidRPr="005F3916">
        <w:rPr>
          <w:sz w:val="32"/>
        </w:rPr>
        <w:t>Only thesis 1. supports a claim of convention.</w:t>
      </w:r>
    </w:p>
    <w:p w14:paraId="7BAFAE65" w14:textId="77777777" w:rsidR="00B5096F" w:rsidRPr="005F3916" w:rsidRDefault="00B5096F">
      <w:pPr>
        <w:rPr>
          <w:sz w:val="32"/>
        </w:rPr>
      </w:pPr>
    </w:p>
    <w:p w14:paraId="25EA3FA4" w14:textId="77777777" w:rsidR="00DD08BB" w:rsidRDefault="00B5096F">
      <w:pPr>
        <w:rPr>
          <w:sz w:val="32"/>
        </w:rPr>
      </w:pPr>
      <w:r w:rsidRPr="005F3916">
        <w:rPr>
          <w:sz w:val="32"/>
        </w:rPr>
        <w:t>Thesis 2 urges i</w:t>
      </w:r>
      <w:r w:rsidR="00DD08BB">
        <w:rPr>
          <w:sz w:val="32"/>
        </w:rPr>
        <w:t>rresponsibility among theorists</w:t>
      </w:r>
    </w:p>
    <w:p w14:paraId="4551AA12" w14:textId="26983479" w:rsidR="00B5096F" w:rsidRPr="005F3916" w:rsidRDefault="00B5096F">
      <w:pPr>
        <w:rPr>
          <w:sz w:val="32"/>
        </w:rPr>
      </w:pPr>
      <w:r w:rsidRPr="005F3916">
        <w:rPr>
          <w:sz w:val="32"/>
        </w:rPr>
        <w:t xml:space="preserve">and </w:t>
      </w:r>
      <w:r w:rsidR="00DD08BB">
        <w:rPr>
          <w:sz w:val="32"/>
        </w:rPr>
        <w:t xml:space="preserve">thesis </w:t>
      </w:r>
      <w:r w:rsidRPr="005F3916">
        <w:rPr>
          <w:sz w:val="32"/>
        </w:rPr>
        <w:t>3 (I suspect) is an afterthought forced by an unhappy referee.</w:t>
      </w:r>
    </w:p>
    <w:p w14:paraId="5EEE7E6D" w14:textId="77777777" w:rsidR="00FF6FC7" w:rsidRPr="005F3916" w:rsidRDefault="00FF6FC7">
      <w:pPr>
        <w:rPr>
          <w:sz w:val="32"/>
        </w:rPr>
      </w:pPr>
    </w:p>
    <w:p w14:paraId="7E751354" w14:textId="50D6731E" w:rsidR="00F52F1E" w:rsidRPr="005F3916" w:rsidRDefault="00F52F1E">
      <w:pPr>
        <w:spacing w:line="240" w:lineRule="auto"/>
        <w:rPr>
          <w:sz w:val="32"/>
        </w:rPr>
      </w:pPr>
      <w:r w:rsidRPr="005F3916">
        <w:rPr>
          <w:sz w:val="32"/>
        </w:rPr>
        <w:br w:type="page"/>
      </w:r>
    </w:p>
    <w:p w14:paraId="4E0B1F36" w14:textId="5DA14EA1" w:rsidR="00FF6FC7" w:rsidRPr="005F3916" w:rsidRDefault="00F52F1E">
      <w:pPr>
        <w:rPr>
          <w:sz w:val="40"/>
        </w:rPr>
      </w:pPr>
      <w:r w:rsidRPr="005F3916">
        <w:rPr>
          <w:sz w:val="40"/>
        </w:rPr>
        <w:lastRenderedPageBreak/>
        <w:t>Merritt’s summary of the main arguments:</w:t>
      </w:r>
    </w:p>
    <w:p w14:paraId="30E85F6B" w14:textId="77777777" w:rsidR="00F52F1E" w:rsidRPr="005F3916" w:rsidRDefault="00F52F1E">
      <w:pPr>
        <w:rPr>
          <w:sz w:val="32"/>
        </w:rPr>
      </w:pPr>
    </w:p>
    <w:p w14:paraId="740C2CD3" w14:textId="12209ED4" w:rsidR="00F52F1E" w:rsidRPr="005F3916" w:rsidRDefault="00F52F1E">
      <w:pPr>
        <w:rPr>
          <w:i/>
          <w:sz w:val="32"/>
        </w:rPr>
      </w:pPr>
      <w:r w:rsidRPr="005F3916">
        <w:rPr>
          <w:i/>
          <w:sz w:val="32"/>
        </w:rPr>
        <w:t>Dark matter</w:t>
      </w:r>
    </w:p>
    <w:p w14:paraId="7DC1133B" w14:textId="3D99432E" w:rsidR="00F52F1E" w:rsidRPr="005F3916" w:rsidRDefault="00F52F1E" w:rsidP="00F52F1E">
      <w:pPr>
        <w:ind w:left="630" w:hanging="630"/>
        <w:rPr>
          <w:sz w:val="32"/>
        </w:rPr>
      </w:pPr>
      <w:r w:rsidRPr="005F3916">
        <w:rPr>
          <w:sz w:val="32"/>
        </w:rPr>
        <w:t>“1. Newton’s theory of gravity and motion is correct (in the weak- field regime appropriate to galaxies).</w:t>
      </w:r>
    </w:p>
    <w:p w14:paraId="730BBABD" w14:textId="77777777" w:rsidR="00F52F1E" w:rsidRPr="005F3916" w:rsidRDefault="00F52F1E" w:rsidP="00F52F1E">
      <w:pPr>
        <w:ind w:left="630" w:hanging="630"/>
        <w:rPr>
          <w:sz w:val="32"/>
        </w:rPr>
      </w:pPr>
      <w:r w:rsidRPr="005F3916">
        <w:rPr>
          <w:sz w:val="32"/>
        </w:rPr>
        <w:t>2. In the absence of unseen mass, Newton’s laws imply that galaxy rotation curves must fall.</w:t>
      </w:r>
    </w:p>
    <w:p w14:paraId="105270A0" w14:textId="2407CBB0" w:rsidR="00F52F1E" w:rsidRPr="005F3916" w:rsidRDefault="00F52F1E" w:rsidP="00F52F1E">
      <w:pPr>
        <w:ind w:left="630" w:hanging="630"/>
        <w:rPr>
          <w:sz w:val="32"/>
        </w:rPr>
      </w:pPr>
      <w:r w:rsidRPr="005F3916">
        <w:rPr>
          <w:sz w:val="32"/>
        </w:rPr>
        <w:t>3. Galaxy rotation curves are observed to be asymptotically flat.</w:t>
      </w:r>
    </w:p>
    <w:p w14:paraId="5A1DEF7C" w14:textId="11F55E57" w:rsidR="00F52F1E" w:rsidRPr="005F3916" w:rsidRDefault="00F52F1E" w:rsidP="00F52F1E">
      <w:pPr>
        <w:ind w:left="630" w:hanging="630"/>
        <w:rPr>
          <w:sz w:val="32"/>
        </w:rPr>
      </w:pPr>
      <w:r w:rsidRPr="005F3916">
        <w:rPr>
          <w:rFonts w:hint="eastAsia"/>
          <w:sz w:val="32"/>
        </w:rPr>
        <w:t>∴</w:t>
      </w:r>
      <w:r w:rsidRPr="005F3916">
        <w:rPr>
          <w:rFonts w:hint="eastAsia"/>
          <w:sz w:val="32"/>
        </w:rPr>
        <w:t xml:space="preserve"> There must be dark matter.</w:t>
      </w:r>
      <w:r w:rsidRPr="005F3916">
        <w:rPr>
          <w:sz w:val="32"/>
        </w:rPr>
        <w:t>”</w:t>
      </w:r>
    </w:p>
    <w:p w14:paraId="0879EE61" w14:textId="77777777" w:rsidR="00F52F1E" w:rsidRPr="005F3916" w:rsidRDefault="00F52F1E" w:rsidP="00F52F1E">
      <w:pPr>
        <w:ind w:left="630" w:hanging="630"/>
        <w:rPr>
          <w:sz w:val="32"/>
        </w:rPr>
      </w:pPr>
    </w:p>
    <w:p w14:paraId="336BA0A8" w14:textId="77777777" w:rsidR="00B5096F" w:rsidRPr="005F3916" w:rsidRDefault="00B5096F" w:rsidP="00F52F1E">
      <w:pPr>
        <w:ind w:left="630" w:hanging="630"/>
        <w:rPr>
          <w:sz w:val="32"/>
        </w:rPr>
      </w:pPr>
    </w:p>
    <w:p w14:paraId="48BABE07" w14:textId="3B6D6F0C" w:rsidR="00F52F1E" w:rsidRPr="005F3916" w:rsidRDefault="00F52F1E" w:rsidP="00F52F1E">
      <w:pPr>
        <w:ind w:left="630" w:hanging="630"/>
        <w:rPr>
          <w:i/>
          <w:sz w:val="32"/>
        </w:rPr>
      </w:pPr>
      <w:r w:rsidRPr="005F3916">
        <w:rPr>
          <w:i/>
          <w:sz w:val="32"/>
        </w:rPr>
        <w:t>Dark energy</w:t>
      </w:r>
    </w:p>
    <w:p w14:paraId="498F0FDF" w14:textId="77777777" w:rsidR="00F52F1E" w:rsidRPr="005F3916" w:rsidRDefault="00F52F1E" w:rsidP="00F52F1E">
      <w:pPr>
        <w:ind w:left="630" w:hanging="630"/>
        <w:rPr>
          <w:sz w:val="32"/>
        </w:rPr>
      </w:pPr>
      <w:r w:rsidRPr="005F3916">
        <w:rPr>
          <w:sz w:val="32"/>
        </w:rPr>
        <w:t>1. Einstein’s theory of gravity and motion is correct.</w:t>
      </w:r>
    </w:p>
    <w:p w14:paraId="1060B169" w14:textId="77777777" w:rsidR="00F52F1E" w:rsidRPr="005F3916" w:rsidRDefault="00F52F1E" w:rsidP="00F52F1E">
      <w:pPr>
        <w:ind w:left="630" w:hanging="630"/>
        <w:rPr>
          <w:sz w:val="32"/>
        </w:rPr>
      </w:pPr>
      <w:r w:rsidRPr="005F3916">
        <w:rPr>
          <w:sz w:val="32"/>
        </w:rPr>
        <w:t>2. In the absence of a universal component with the properties of dark energy, Einstein’s equations imply that the cosmological</w:t>
      </w:r>
    </w:p>
    <w:p w14:paraId="6882C2FD" w14:textId="77777777" w:rsidR="00F52F1E" w:rsidRPr="005F3916" w:rsidRDefault="00F52F1E" w:rsidP="00F52F1E">
      <w:pPr>
        <w:ind w:left="630" w:hanging="630"/>
        <w:rPr>
          <w:sz w:val="32"/>
        </w:rPr>
      </w:pPr>
      <w:r w:rsidRPr="005F3916">
        <w:rPr>
          <w:sz w:val="32"/>
        </w:rPr>
        <w:t>expansion rate must decrease over time.</w:t>
      </w:r>
    </w:p>
    <w:p w14:paraId="7B7F4670" w14:textId="77777777" w:rsidR="00F52F1E" w:rsidRPr="005F3916" w:rsidRDefault="00F52F1E" w:rsidP="00F52F1E">
      <w:pPr>
        <w:ind w:left="630" w:hanging="630"/>
        <w:rPr>
          <w:sz w:val="32"/>
        </w:rPr>
      </w:pPr>
      <w:r w:rsidRPr="005F3916">
        <w:rPr>
          <w:sz w:val="32"/>
        </w:rPr>
        <w:t>3. The expansion rate is observed to increase over time.</w:t>
      </w:r>
    </w:p>
    <w:p w14:paraId="3F18F4A0" w14:textId="5CBE316B" w:rsidR="00F52F1E" w:rsidRPr="005F3916" w:rsidRDefault="00F52F1E" w:rsidP="00F52F1E">
      <w:pPr>
        <w:ind w:left="630" w:hanging="630"/>
        <w:rPr>
          <w:sz w:val="32"/>
        </w:rPr>
      </w:pPr>
      <w:r w:rsidRPr="005F3916">
        <w:rPr>
          <w:rFonts w:hint="eastAsia"/>
          <w:sz w:val="32"/>
        </w:rPr>
        <w:t>∴</w:t>
      </w:r>
      <w:r w:rsidRPr="005F3916">
        <w:rPr>
          <w:rFonts w:hint="eastAsia"/>
          <w:sz w:val="32"/>
        </w:rPr>
        <w:t xml:space="preserve"> There must be dark energy.</w:t>
      </w:r>
    </w:p>
    <w:p w14:paraId="66DC9852" w14:textId="3CF4E6C9" w:rsidR="00D47354" w:rsidRPr="005F3916" w:rsidRDefault="00F52F1E" w:rsidP="0049690F">
      <w:pPr>
        <w:spacing w:line="240" w:lineRule="auto"/>
        <w:rPr>
          <w:sz w:val="32"/>
        </w:rPr>
      </w:pPr>
      <w:r w:rsidRPr="005F3916">
        <w:rPr>
          <w:sz w:val="32"/>
        </w:rPr>
        <w:br w:type="page"/>
      </w:r>
    </w:p>
    <w:tbl>
      <w:tblPr>
        <w:tblStyle w:val="TableGrid"/>
        <w:tblW w:w="0" w:type="auto"/>
        <w:tblLook w:val="04A0" w:firstRow="1" w:lastRow="0" w:firstColumn="1" w:lastColumn="0" w:noHBand="0" w:noVBand="1"/>
      </w:tblPr>
      <w:tblGrid>
        <w:gridCol w:w="4428"/>
        <w:gridCol w:w="5148"/>
      </w:tblGrid>
      <w:tr w:rsidR="00D47354" w:rsidRPr="005F3916" w14:paraId="7E725148" w14:textId="77777777" w:rsidTr="005F3916">
        <w:tc>
          <w:tcPr>
            <w:tcW w:w="4428" w:type="dxa"/>
          </w:tcPr>
          <w:p w14:paraId="7DB11B2C" w14:textId="77777777" w:rsidR="00D47354" w:rsidRPr="005F3916" w:rsidRDefault="00D47354" w:rsidP="00D47354">
            <w:pPr>
              <w:rPr>
                <w:i/>
                <w:sz w:val="28"/>
              </w:rPr>
            </w:pPr>
            <w:r w:rsidRPr="005F3916">
              <w:rPr>
                <w:b/>
                <w:sz w:val="28"/>
              </w:rPr>
              <w:t>Popper’s Conventionalist Stratagem</w:t>
            </w:r>
            <w:r w:rsidRPr="005F3916">
              <w:rPr>
                <w:sz w:val="28"/>
              </w:rPr>
              <w:t xml:space="preserve"> (as summarized by Keuth, </w:t>
            </w:r>
            <w:r w:rsidRPr="005F3916">
              <w:rPr>
                <w:i/>
                <w:sz w:val="28"/>
              </w:rPr>
              <w:t>The Philosophy of Karl Popper.</w:t>
            </w:r>
          </w:p>
          <w:p w14:paraId="04B02168" w14:textId="5C2524DD" w:rsidR="001B68B3" w:rsidRPr="005F3916" w:rsidRDefault="00D47354" w:rsidP="00D47354">
            <w:pPr>
              <w:rPr>
                <w:sz w:val="28"/>
              </w:rPr>
            </w:pPr>
            <w:r w:rsidRPr="005F3916">
              <w:rPr>
                <w:sz w:val="28"/>
              </w:rPr>
              <w:t>When threatened with possible falsifiers:</w:t>
            </w:r>
          </w:p>
        </w:tc>
        <w:tc>
          <w:tcPr>
            <w:tcW w:w="5148" w:type="dxa"/>
          </w:tcPr>
          <w:p w14:paraId="73FE50E5" w14:textId="37DEEF45" w:rsidR="00D47354" w:rsidRPr="005F3916" w:rsidRDefault="001B68B3" w:rsidP="00F52F1E">
            <w:pPr>
              <w:rPr>
                <w:b/>
                <w:sz w:val="28"/>
              </w:rPr>
            </w:pPr>
            <w:r w:rsidRPr="005F3916">
              <w:rPr>
                <w:b/>
                <w:sz w:val="28"/>
              </w:rPr>
              <w:t>Popper’s remedies</w:t>
            </w:r>
          </w:p>
        </w:tc>
      </w:tr>
      <w:tr w:rsidR="00D47354" w:rsidRPr="005F3916" w14:paraId="67AA8ED9" w14:textId="77777777" w:rsidTr="005F3916">
        <w:tc>
          <w:tcPr>
            <w:tcW w:w="4428" w:type="dxa"/>
          </w:tcPr>
          <w:p w14:paraId="09714D99" w14:textId="77777777" w:rsidR="00D47354" w:rsidRPr="005F3916" w:rsidRDefault="001B68B3" w:rsidP="00F52F1E">
            <w:pPr>
              <w:rPr>
                <w:sz w:val="28"/>
              </w:rPr>
            </w:pPr>
            <w:r w:rsidRPr="005F3916">
              <w:rPr>
                <w:sz w:val="28"/>
              </w:rPr>
              <w:t>“(i) we may introduce ad hoc hypotheses (which make refuting evidence seem irrelevant);”</w:t>
            </w:r>
          </w:p>
          <w:p w14:paraId="02A52D2C" w14:textId="39AB7ED0" w:rsidR="001B68B3" w:rsidRPr="005F3916" w:rsidRDefault="001B68B3" w:rsidP="00F52F1E">
            <w:pPr>
              <w:rPr>
                <w:sz w:val="28"/>
              </w:rPr>
            </w:pPr>
          </w:p>
        </w:tc>
        <w:tc>
          <w:tcPr>
            <w:tcW w:w="5148" w:type="dxa"/>
          </w:tcPr>
          <w:p w14:paraId="15C2A7C3" w14:textId="55A99E7F" w:rsidR="00D47354" w:rsidRPr="005F3916" w:rsidRDefault="001B68B3" w:rsidP="00F52F1E">
            <w:pPr>
              <w:rPr>
                <w:sz w:val="28"/>
              </w:rPr>
            </w:pPr>
            <w:r w:rsidRPr="005F3916">
              <w:rPr>
                <w:sz w:val="28"/>
              </w:rPr>
              <w:t>“As regards auxiliary hypotheses we decide to lay down the rule that only those are acceptable whose introduction does not diminish the degree of falsifiability or testability of the system in question, but on the contrary, increases it...</w:t>
            </w:r>
            <w:r w:rsidR="00A05312" w:rsidRPr="005F3916">
              <w:rPr>
                <w:sz w:val="28"/>
              </w:rPr>
              <w:t>”</w:t>
            </w:r>
          </w:p>
        </w:tc>
      </w:tr>
      <w:tr w:rsidR="00D47354" w:rsidRPr="005F3916" w14:paraId="703E0DB3" w14:textId="77777777" w:rsidTr="005F3916">
        <w:tc>
          <w:tcPr>
            <w:tcW w:w="4428" w:type="dxa"/>
          </w:tcPr>
          <w:p w14:paraId="5ABAAF30" w14:textId="77777777" w:rsidR="00D47354" w:rsidRPr="005F3916" w:rsidRDefault="001B68B3" w:rsidP="00F52F1E">
            <w:pPr>
              <w:rPr>
                <w:sz w:val="28"/>
              </w:rPr>
            </w:pPr>
            <w:r w:rsidRPr="005F3916">
              <w:rPr>
                <w:sz w:val="28"/>
              </w:rPr>
              <w:t>“(ii) we may modify the so-called ostensive definitions (so as to alter the content of a hypothesis and thus possibly its truth value);”</w:t>
            </w:r>
          </w:p>
          <w:p w14:paraId="153715B8" w14:textId="52020236" w:rsidR="001B68B3" w:rsidRPr="005F3916" w:rsidRDefault="001B68B3" w:rsidP="00F52F1E">
            <w:pPr>
              <w:rPr>
                <w:sz w:val="28"/>
              </w:rPr>
            </w:pPr>
          </w:p>
        </w:tc>
        <w:tc>
          <w:tcPr>
            <w:tcW w:w="5148" w:type="dxa"/>
          </w:tcPr>
          <w:p w14:paraId="7D48E31F" w14:textId="331E5D8C" w:rsidR="00D47354" w:rsidRPr="005F3916" w:rsidRDefault="00A05312" w:rsidP="00F52F1E">
            <w:pPr>
              <w:rPr>
                <w:sz w:val="28"/>
              </w:rPr>
            </w:pPr>
            <w:r w:rsidRPr="005F3916">
              <w:rPr>
                <w:sz w:val="28"/>
              </w:rPr>
              <w:t>‘…changes in definitions are permissible, but “they must be regarded as modifications of the system, which thereafter has to be re-examined as if it were new” ‘</w:t>
            </w:r>
          </w:p>
        </w:tc>
      </w:tr>
      <w:tr w:rsidR="00A05312" w:rsidRPr="005F3916" w14:paraId="6A8BBDA1" w14:textId="77777777" w:rsidTr="005F3916">
        <w:tc>
          <w:tcPr>
            <w:tcW w:w="4428" w:type="dxa"/>
          </w:tcPr>
          <w:p w14:paraId="17A08C88" w14:textId="180416C4" w:rsidR="00A05312" w:rsidRPr="005F3916" w:rsidRDefault="00A05312" w:rsidP="00F52F1E">
            <w:pPr>
              <w:rPr>
                <w:sz w:val="28"/>
              </w:rPr>
            </w:pPr>
            <w:r w:rsidRPr="005F3916">
              <w:rPr>
                <w:sz w:val="28"/>
              </w:rPr>
              <w:t>“(iii) we may doubt the reliability of the experimenter (and declare his observations that threaten the tested theory to be irrelevant);”</w:t>
            </w:r>
          </w:p>
        </w:tc>
        <w:tc>
          <w:tcPr>
            <w:tcW w:w="5148" w:type="dxa"/>
            <w:vMerge w:val="restart"/>
          </w:tcPr>
          <w:p w14:paraId="39D61ED2" w14:textId="77777777" w:rsidR="00A05312" w:rsidRPr="005F3916" w:rsidRDefault="00A05312" w:rsidP="00F52F1E">
            <w:pPr>
              <w:rPr>
                <w:sz w:val="28"/>
              </w:rPr>
            </w:pPr>
          </w:p>
          <w:p w14:paraId="053C04AB" w14:textId="5A23A451" w:rsidR="00A05312" w:rsidRPr="005F3916" w:rsidRDefault="00A05312" w:rsidP="00F52F1E">
            <w:pPr>
              <w:rPr>
                <w:sz w:val="28"/>
              </w:rPr>
            </w:pPr>
            <w:r w:rsidRPr="005F3916">
              <w:rPr>
                <w:sz w:val="28"/>
              </w:rPr>
              <w:t>‘Popper says only “As to the two remaining points in our list...we shall adopt similar rules. Inter-subjectively testable experiments are either to be ac- cepted, or to be rejected in the light of counter-experiments.” “</w:t>
            </w:r>
          </w:p>
        </w:tc>
      </w:tr>
      <w:tr w:rsidR="00A05312" w:rsidRPr="005F3916" w14:paraId="174CFEA0" w14:textId="77777777" w:rsidTr="005F3916">
        <w:tc>
          <w:tcPr>
            <w:tcW w:w="4428" w:type="dxa"/>
          </w:tcPr>
          <w:p w14:paraId="0DF6BB75" w14:textId="6FEA26EE" w:rsidR="00A05312" w:rsidRPr="005F3916" w:rsidRDefault="00A05312" w:rsidP="00F52F1E">
            <w:pPr>
              <w:rPr>
                <w:sz w:val="28"/>
              </w:rPr>
            </w:pPr>
            <w:r w:rsidRPr="005F3916">
              <w:rPr>
                <w:sz w:val="28"/>
              </w:rPr>
              <w:t>“(iv) we may doubt the acumen of the theoretician (who does not produce ideas that can save the tested theory).”</w:t>
            </w:r>
          </w:p>
        </w:tc>
        <w:tc>
          <w:tcPr>
            <w:tcW w:w="5148" w:type="dxa"/>
            <w:vMerge/>
          </w:tcPr>
          <w:p w14:paraId="4D82358B" w14:textId="77777777" w:rsidR="00A05312" w:rsidRPr="005F3916" w:rsidRDefault="00A05312" w:rsidP="00F52F1E">
            <w:pPr>
              <w:rPr>
                <w:sz w:val="28"/>
              </w:rPr>
            </w:pPr>
          </w:p>
        </w:tc>
      </w:tr>
    </w:tbl>
    <w:p w14:paraId="298F2525" w14:textId="77777777" w:rsidR="00D47354" w:rsidRPr="005F3916" w:rsidRDefault="00D47354" w:rsidP="00F52F1E">
      <w:pPr>
        <w:rPr>
          <w:sz w:val="32"/>
        </w:rPr>
      </w:pPr>
    </w:p>
    <w:p w14:paraId="5F664D47" w14:textId="1A4672DB" w:rsidR="00B6266D" w:rsidRPr="005F3916" w:rsidRDefault="00B6266D">
      <w:pPr>
        <w:spacing w:line="240" w:lineRule="auto"/>
        <w:rPr>
          <w:sz w:val="32"/>
        </w:rPr>
      </w:pPr>
      <w:bookmarkStart w:id="0" w:name="_GoBack"/>
      <w:bookmarkEnd w:id="0"/>
    </w:p>
    <w:tbl>
      <w:tblPr>
        <w:tblStyle w:val="TableGrid"/>
        <w:tblW w:w="0" w:type="auto"/>
        <w:tblLook w:val="04A0" w:firstRow="1" w:lastRow="0" w:firstColumn="1" w:lastColumn="0" w:noHBand="0" w:noVBand="1"/>
      </w:tblPr>
      <w:tblGrid>
        <w:gridCol w:w="3078"/>
        <w:gridCol w:w="6498"/>
      </w:tblGrid>
      <w:tr w:rsidR="002B2C55" w:rsidRPr="005F3916" w14:paraId="65634E5C" w14:textId="77777777" w:rsidTr="0049690F">
        <w:tc>
          <w:tcPr>
            <w:tcW w:w="3078" w:type="dxa"/>
          </w:tcPr>
          <w:p w14:paraId="01ABB3B5" w14:textId="3319DD01" w:rsidR="002B2C55" w:rsidRPr="005F3916" w:rsidRDefault="002B2C55" w:rsidP="00F52F1E">
            <w:pPr>
              <w:rPr>
                <w:b/>
                <w:sz w:val="32"/>
              </w:rPr>
            </w:pPr>
            <w:r w:rsidRPr="005F3916">
              <w:rPr>
                <w:b/>
                <w:sz w:val="32"/>
              </w:rPr>
              <w:t>Potential Falsifier</w:t>
            </w:r>
          </w:p>
          <w:p w14:paraId="5227595D" w14:textId="77777777" w:rsidR="002B2C55" w:rsidRPr="005F3916" w:rsidRDefault="002B2C55" w:rsidP="00F52F1E">
            <w:pPr>
              <w:rPr>
                <w:sz w:val="32"/>
              </w:rPr>
            </w:pPr>
          </w:p>
        </w:tc>
        <w:tc>
          <w:tcPr>
            <w:tcW w:w="6498" w:type="dxa"/>
          </w:tcPr>
          <w:p w14:paraId="4A9C3327" w14:textId="7AE36C3C" w:rsidR="002B2C55" w:rsidRPr="005F3916" w:rsidRDefault="002B2C55" w:rsidP="00F52F1E">
            <w:pPr>
              <w:rPr>
                <w:b/>
                <w:sz w:val="32"/>
              </w:rPr>
            </w:pPr>
            <w:r w:rsidRPr="005F3916">
              <w:rPr>
                <w:b/>
                <w:sz w:val="32"/>
              </w:rPr>
              <w:t>Why escape in conventional</w:t>
            </w:r>
          </w:p>
        </w:tc>
      </w:tr>
      <w:tr w:rsidR="002B2C55" w:rsidRPr="005F3916" w14:paraId="1642326E" w14:textId="77777777" w:rsidTr="0049690F">
        <w:tc>
          <w:tcPr>
            <w:tcW w:w="3078" w:type="dxa"/>
          </w:tcPr>
          <w:p w14:paraId="02403654" w14:textId="7470D927" w:rsidR="002B2C55" w:rsidRPr="005F3916" w:rsidRDefault="002B2C55" w:rsidP="00F52F1E">
            <w:pPr>
              <w:rPr>
                <w:sz w:val="32"/>
              </w:rPr>
            </w:pPr>
            <w:r w:rsidRPr="005F3916">
              <w:rPr>
                <w:sz w:val="32"/>
              </w:rPr>
              <w:t>Anomalous galactic rotation curves</w:t>
            </w:r>
          </w:p>
          <w:p w14:paraId="2DC20E8B" w14:textId="77777777" w:rsidR="002B2C55" w:rsidRPr="005F3916" w:rsidRDefault="002B2C55" w:rsidP="00F52F1E">
            <w:pPr>
              <w:rPr>
                <w:sz w:val="32"/>
              </w:rPr>
            </w:pPr>
          </w:p>
        </w:tc>
        <w:tc>
          <w:tcPr>
            <w:tcW w:w="6498" w:type="dxa"/>
          </w:tcPr>
          <w:p w14:paraId="66127F67" w14:textId="508BD5CE" w:rsidR="002B2C55" w:rsidRPr="005F3916" w:rsidRDefault="002B2C55" w:rsidP="00DD08BB">
            <w:pPr>
              <w:spacing w:line="240" w:lineRule="auto"/>
              <w:rPr>
                <w:sz w:val="32"/>
              </w:rPr>
            </w:pPr>
            <w:r w:rsidRPr="005F3916">
              <w:rPr>
                <w:sz w:val="32"/>
              </w:rPr>
              <w:t xml:space="preserve">“In this limited sense, the dark matter hypothesis can be said to be non-falsifiable, since essentially any observed rotation curve </w:t>
            </w:r>
            <w:r w:rsidR="00B5096F" w:rsidRPr="005F3916">
              <w:rPr>
                <w:sz w:val="32"/>
              </w:rPr>
              <w:t>can be fit by adjusting the as</w:t>
            </w:r>
            <w:r w:rsidRPr="005F3916">
              <w:rPr>
                <w:sz w:val="32"/>
              </w:rPr>
              <w:t>sumed dark matter density appropriately.”</w:t>
            </w:r>
          </w:p>
          <w:p w14:paraId="6EAE86B4" w14:textId="77777777" w:rsidR="002B2C55" w:rsidRPr="005F3916" w:rsidRDefault="002B2C55" w:rsidP="00DD08BB">
            <w:pPr>
              <w:spacing w:line="240" w:lineRule="auto"/>
              <w:rPr>
                <w:sz w:val="32"/>
              </w:rPr>
            </w:pPr>
          </w:p>
          <w:p w14:paraId="63A1C47F" w14:textId="77777777" w:rsidR="002B2C55" w:rsidRDefault="002B2C55" w:rsidP="00DD08BB">
            <w:pPr>
              <w:spacing w:line="240" w:lineRule="auto"/>
              <w:rPr>
                <w:sz w:val="32"/>
              </w:rPr>
            </w:pPr>
            <w:r w:rsidRPr="005F3916">
              <w:rPr>
                <w:sz w:val="32"/>
              </w:rPr>
              <w:t>“non-detection will never constitute a falsification of the cold-dark-matter hypothesis.”</w:t>
            </w:r>
          </w:p>
          <w:p w14:paraId="08B4AC49" w14:textId="37CB099D" w:rsidR="00DD08BB" w:rsidRPr="005F3916" w:rsidRDefault="00DD08BB" w:rsidP="00DD08BB">
            <w:pPr>
              <w:spacing w:line="240" w:lineRule="auto"/>
              <w:rPr>
                <w:sz w:val="32"/>
              </w:rPr>
            </w:pPr>
          </w:p>
        </w:tc>
      </w:tr>
      <w:tr w:rsidR="002B2C55" w:rsidRPr="005F3916" w14:paraId="6CF92575" w14:textId="77777777" w:rsidTr="0049690F">
        <w:tc>
          <w:tcPr>
            <w:tcW w:w="3078" w:type="dxa"/>
          </w:tcPr>
          <w:p w14:paraId="04956B80" w14:textId="23823990" w:rsidR="002B2C55" w:rsidRPr="005F3916" w:rsidRDefault="002B2C55" w:rsidP="00F52F1E">
            <w:pPr>
              <w:rPr>
                <w:sz w:val="32"/>
              </w:rPr>
            </w:pPr>
            <w:r w:rsidRPr="005F3916">
              <w:rPr>
                <w:sz w:val="32"/>
              </w:rPr>
              <w:t>Anomalous galactic acceleration</w:t>
            </w:r>
          </w:p>
        </w:tc>
        <w:tc>
          <w:tcPr>
            <w:tcW w:w="6498" w:type="dxa"/>
          </w:tcPr>
          <w:p w14:paraId="543B9A2D" w14:textId="5DB14484" w:rsidR="002B2C55" w:rsidRPr="005F3916" w:rsidRDefault="002B2C55" w:rsidP="00DD08BB">
            <w:pPr>
              <w:spacing w:line="240" w:lineRule="auto"/>
              <w:rPr>
                <w:sz w:val="32"/>
              </w:rPr>
            </w:pPr>
            <w:r w:rsidRPr="005F3916">
              <w:rPr>
                <w:sz w:val="32"/>
              </w:rPr>
              <w:t>“</w:t>
            </w:r>
            <w:r w:rsidRPr="005F3916">
              <w:rPr>
                <w:rFonts w:hint="eastAsia"/>
                <w:sz w:val="32"/>
              </w:rPr>
              <w:t xml:space="preserve">The dark energy hypothesis allows one to fit any observed cosmic expansion history by adjusting the dependence of </w:t>
            </w:r>
            <w:r w:rsidRPr="005F3916">
              <w:rPr>
                <w:rFonts w:hint="eastAsia"/>
                <w:sz w:val="32"/>
              </w:rPr>
              <w:t>ε</w:t>
            </w:r>
            <w:r w:rsidRPr="005F3916">
              <w:rPr>
                <w:rFonts w:hint="eastAsia"/>
                <w:sz w:val="32"/>
              </w:rPr>
              <w:t xml:space="preserve"> and p on time24 (Woodard, 2007). In thi</w:t>
            </w:r>
            <w:r w:rsidR="00B5096F" w:rsidRPr="005F3916">
              <w:rPr>
                <w:rFonts w:hint="eastAsia"/>
                <w:sz w:val="32"/>
              </w:rPr>
              <w:t>s limited respect, the dark en</w:t>
            </w:r>
            <w:r w:rsidRPr="005F3916">
              <w:rPr>
                <w:rFonts w:hint="eastAsia"/>
                <w:sz w:val="32"/>
              </w:rPr>
              <w:t>ergy hypothesis is not falsifiable.</w:t>
            </w:r>
            <w:r w:rsidRPr="005F3916">
              <w:rPr>
                <w:sz w:val="32"/>
              </w:rPr>
              <w:t>”</w:t>
            </w:r>
          </w:p>
          <w:p w14:paraId="0D968971" w14:textId="77777777" w:rsidR="002B2C55" w:rsidRPr="005F3916" w:rsidRDefault="002B2C55" w:rsidP="00DD08BB">
            <w:pPr>
              <w:spacing w:line="240" w:lineRule="auto"/>
              <w:rPr>
                <w:sz w:val="32"/>
              </w:rPr>
            </w:pPr>
          </w:p>
          <w:p w14:paraId="63236667" w14:textId="05191764" w:rsidR="002B2C55" w:rsidRPr="005F3916" w:rsidRDefault="002B2C55" w:rsidP="00DD08BB">
            <w:pPr>
              <w:spacing w:line="240" w:lineRule="auto"/>
              <w:rPr>
                <w:sz w:val="32"/>
              </w:rPr>
            </w:pPr>
            <w:r w:rsidRPr="005F3916">
              <w:rPr>
                <w:sz w:val="32"/>
              </w:rPr>
              <w:t xml:space="preserve">“Can one </w:t>
            </w:r>
            <w:r w:rsidR="00B5096F" w:rsidRPr="005F3916">
              <w:rPr>
                <w:sz w:val="32"/>
              </w:rPr>
              <w:t>imagine designing a similar ex</w:t>
            </w:r>
            <w:r w:rsidRPr="005F3916">
              <w:rPr>
                <w:sz w:val="32"/>
              </w:rPr>
              <w:t>periment that tests the dark energy hypothesis?</w:t>
            </w:r>
            <w:r w:rsidR="00B5096F" w:rsidRPr="005F3916">
              <w:rPr>
                <w:sz w:val="32"/>
              </w:rPr>
              <w:t xml:space="preserve"> </w:t>
            </w:r>
            <w:r w:rsidRPr="005F3916">
              <w:rPr>
                <w:sz w:val="32"/>
              </w:rPr>
              <w:t>The straightforward answer is “no”.</w:t>
            </w:r>
          </w:p>
          <w:p w14:paraId="7349B030" w14:textId="796C8BC9" w:rsidR="002B2C55" w:rsidRPr="005F3916" w:rsidRDefault="002B2C55" w:rsidP="00DD08BB">
            <w:pPr>
              <w:spacing w:line="240" w:lineRule="auto"/>
              <w:rPr>
                <w:sz w:val="32"/>
              </w:rPr>
            </w:pPr>
          </w:p>
        </w:tc>
      </w:tr>
      <w:tr w:rsidR="002B2C55" w:rsidRPr="005F3916" w14:paraId="0842B1CD" w14:textId="77777777" w:rsidTr="0049690F">
        <w:tc>
          <w:tcPr>
            <w:tcW w:w="3078" w:type="dxa"/>
          </w:tcPr>
          <w:p w14:paraId="2D1EFBCE" w14:textId="127DB1C2" w:rsidR="002B2C55" w:rsidRPr="005F3916" w:rsidRDefault="00F967EE" w:rsidP="00F52F1E">
            <w:pPr>
              <w:rPr>
                <w:sz w:val="32"/>
              </w:rPr>
            </w:pPr>
            <w:r w:rsidRPr="005F3916">
              <w:rPr>
                <w:sz w:val="32"/>
              </w:rPr>
              <w:t>The mass discrepancy–acceleration relation</w:t>
            </w:r>
          </w:p>
        </w:tc>
        <w:tc>
          <w:tcPr>
            <w:tcW w:w="6498" w:type="dxa"/>
          </w:tcPr>
          <w:p w14:paraId="126A4CC4" w14:textId="77777777" w:rsidR="002B2C55" w:rsidRPr="005F3916" w:rsidRDefault="00F967EE" w:rsidP="00DD08BB">
            <w:pPr>
              <w:spacing w:line="240" w:lineRule="auto"/>
              <w:rPr>
                <w:sz w:val="32"/>
              </w:rPr>
            </w:pPr>
            <w:r w:rsidRPr="005F3916">
              <w:rPr>
                <w:sz w:val="32"/>
              </w:rPr>
              <w:t>“Framed as a prediction, the mass discrepancy–acceleration relation clearly satisfies Popper’s criterion for a ‘severe’ test (“highly improbable ..”</w:t>
            </w:r>
          </w:p>
          <w:p w14:paraId="130FB2F4" w14:textId="77777777" w:rsidR="00F967EE" w:rsidRPr="005F3916" w:rsidRDefault="00F967EE" w:rsidP="00DD08BB">
            <w:pPr>
              <w:spacing w:line="240" w:lineRule="auto"/>
              <w:rPr>
                <w:sz w:val="32"/>
              </w:rPr>
            </w:pPr>
          </w:p>
          <w:p w14:paraId="18AEE2E2" w14:textId="2079F6A6" w:rsidR="00F967EE" w:rsidRPr="005F3916" w:rsidRDefault="00F967EE" w:rsidP="00DD08BB">
            <w:pPr>
              <w:spacing w:line="240" w:lineRule="auto"/>
              <w:rPr>
                <w:sz w:val="32"/>
              </w:rPr>
            </w:pPr>
            <w:r w:rsidRPr="005F3916">
              <w:rPr>
                <w:sz w:val="32"/>
              </w:rPr>
              <w:t>“the mass discrepancy–acceleration relation has been dealt with via the third of Popper’s conventionalist stratagems: It has been ignored.”</w:t>
            </w:r>
          </w:p>
        </w:tc>
      </w:tr>
    </w:tbl>
    <w:p w14:paraId="74BF542D" w14:textId="77777777" w:rsidR="00B6266D" w:rsidRPr="005F3916" w:rsidRDefault="00B6266D" w:rsidP="00F52F1E">
      <w:pPr>
        <w:rPr>
          <w:sz w:val="32"/>
        </w:rPr>
      </w:pPr>
    </w:p>
    <w:p w14:paraId="01F7F18F" w14:textId="1FFAB7B8" w:rsidR="00F967EE" w:rsidRPr="005F3916" w:rsidRDefault="00F967EE">
      <w:pPr>
        <w:spacing w:line="240" w:lineRule="auto"/>
        <w:rPr>
          <w:sz w:val="32"/>
        </w:rPr>
      </w:pPr>
      <w:r w:rsidRPr="005F3916">
        <w:rPr>
          <w:sz w:val="32"/>
        </w:rPr>
        <w:br w:type="page"/>
      </w:r>
    </w:p>
    <w:p w14:paraId="4073E966" w14:textId="41253934" w:rsidR="00F967EE" w:rsidRPr="005F3916" w:rsidRDefault="00F967EE" w:rsidP="00F52F1E">
      <w:pPr>
        <w:rPr>
          <w:sz w:val="44"/>
        </w:rPr>
      </w:pPr>
      <w:r w:rsidRPr="005F3916">
        <w:rPr>
          <w:sz w:val="44"/>
        </w:rPr>
        <w:t>The mass discrepancy–acceleration relation</w:t>
      </w:r>
      <w:r w:rsidR="00CC5102" w:rsidRPr="005F3916">
        <w:rPr>
          <w:sz w:val="44"/>
        </w:rPr>
        <w:t>:</w:t>
      </w:r>
      <w:r w:rsidR="00CC5102" w:rsidRPr="005F3916">
        <w:rPr>
          <w:sz w:val="52"/>
        </w:rPr>
        <w:t xml:space="preserve">   </w:t>
      </w:r>
      <w:r w:rsidRPr="005F3916">
        <w:rPr>
          <w:sz w:val="40"/>
        </w:rPr>
        <w:t>“Ignored”</w:t>
      </w:r>
    </w:p>
    <w:p w14:paraId="37F727D6" w14:textId="77777777" w:rsidR="00F967EE" w:rsidRPr="005F3916" w:rsidRDefault="00F967EE" w:rsidP="00F52F1E">
      <w:pPr>
        <w:rPr>
          <w:sz w:val="32"/>
        </w:rPr>
      </w:pPr>
    </w:p>
    <w:p w14:paraId="1FC01529" w14:textId="60B720A8" w:rsidR="00F967EE" w:rsidRPr="005F3916" w:rsidRDefault="00F967EE" w:rsidP="00F52F1E">
      <w:pPr>
        <w:rPr>
          <w:sz w:val="32"/>
        </w:rPr>
      </w:pPr>
      <w:r w:rsidRPr="005F3916">
        <w:rPr>
          <w:sz w:val="32"/>
        </w:rPr>
        <w:t>Merritt surveys 34 graduate level cosmology texts dated 2005-2016. None discuss the relation.</w:t>
      </w:r>
    </w:p>
    <w:p w14:paraId="27436CF1" w14:textId="77777777" w:rsidR="00F967EE" w:rsidRPr="005F3916" w:rsidRDefault="00F967EE" w:rsidP="00F52F1E">
      <w:pPr>
        <w:rPr>
          <w:sz w:val="32"/>
        </w:rPr>
      </w:pPr>
    </w:p>
    <w:p w14:paraId="6C6CB554" w14:textId="2EA30BEE" w:rsidR="00F967EE" w:rsidRPr="005F3916" w:rsidRDefault="00CC5102" w:rsidP="00F52F1E">
      <w:pPr>
        <w:rPr>
          <w:sz w:val="32"/>
        </w:rPr>
      </w:pPr>
      <w:r w:rsidRPr="005F3916">
        <w:rPr>
          <w:sz w:val="32"/>
        </w:rPr>
        <w:t>Merritt’s citations include repeated references to Milgrom (of MOND)</w:t>
      </w:r>
      <w:r w:rsidR="00B5096F" w:rsidRPr="005F3916">
        <w:rPr>
          <w:sz w:val="32"/>
        </w:rPr>
        <w:t>, who is also acknowledged</w:t>
      </w:r>
      <w:r w:rsidRPr="005F3916">
        <w:rPr>
          <w:sz w:val="32"/>
        </w:rPr>
        <w:t>.</w:t>
      </w:r>
    </w:p>
    <w:p w14:paraId="7917E95C" w14:textId="77777777" w:rsidR="00CC5102" w:rsidRPr="005F3916" w:rsidRDefault="00CC5102" w:rsidP="00F52F1E">
      <w:pPr>
        <w:rPr>
          <w:sz w:val="32"/>
        </w:rPr>
      </w:pPr>
    </w:p>
    <w:p w14:paraId="00F95102" w14:textId="3CEC0B5C" w:rsidR="00CC5102" w:rsidRPr="005F3916" w:rsidRDefault="00CC5102" w:rsidP="00F52F1E">
      <w:pPr>
        <w:rPr>
          <w:sz w:val="32"/>
        </w:rPr>
      </w:pPr>
      <w:r w:rsidRPr="005F3916">
        <w:rPr>
          <w:sz w:val="32"/>
        </w:rPr>
        <w:t>Suspicion: that there is a problem is an unsuccessful talking point of MOND proponents. They have been unsuccessful is getting the mainstream to share the worry.</w:t>
      </w:r>
    </w:p>
    <w:p w14:paraId="217551BA" w14:textId="77777777" w:rsidR="00F967EE" w:rsidRPr="005F3916" w:rsidRDefault="00F967EE" w:rsidP="00F52F1E">
      <w:pPr>
        <w:rPr>
          <w:sz w:val="32"/>
        </w:rPr>
      </w:pPr>
    </w:p>
    <w:p w14:paraId="7390B529" w14:textId="6A03B52E" w:rsidR="00D47354" w:rsidRPr="005F3916" w:rsidRDefault="00D47354">
      <w:pPr>
        <w:spacing w:line="240" w:lineRule="auto"/>
        <w:rPr>
          <w:sz w:val="32"/>
        </w:rPr>
      </w:pPr>
      <w:r w:rsidRPr="005F3916">
        <w:rPr>
          <w:sz w:val="32"/>
        </w:rPr>
        <w:br w:type="page"/>
      </w:r>
    </w:p>
    <w:p w14:paraId="6B0D294C" w14:textId="6734C5B3" w:rsidR="00B6266D" w:rsidRPr="005F3916" w:rsidRDefault="00B6266D" w:rsidP="00B6266D">
      <w:pPr>
        <w:rPr>
          <w:sz w:val="48"/>
        </w:rPr>
      </w:pPr>
      <w:r w:rsidRPr="005F3916">
        <w:rPr>
          <w:sz w:val="48"/>
        </w:rPr>
        <w:t>My Diagnosis</w:t>
      </w:r>
    </w:p>
    <w:p w14:paraId="44BECFC0" w14:textId="77777777" w:rsidR="00B6266D" w:rsidRPr="005F3916" w:rsidRDefault="00B6266D" w:rsidP="00B6266D">
      <w:pPr>
        <w:rPr>
          <w:sz w:val="32"/>
        </w:rPr>
      </w:pPr>
    </w:p>
    <w:p w14:paraId="6E9152C5" w14:textId="38E47EB4" w:rsidR="00B6266D" w:rsidRPr="005F3916" w:rsidRDefault="00B6266D" w:rsidP="00B6266D">
      <w:pPr>
        <w:rPr>
          <w:sz w:val="32"/>
        </w:rPr>
      </w:pPr>
      <w:r w:rsidRPr="005F3916">
        <w:rPr>
          <w:sz w:val="32"/>
        </w:rPr>
        <w:t>The analysis relies on a simple-minded Popperian analysis and thus can at best deliver simple-minded results.</w:t>
      </w:r>
    </w:p>
    <w:p w14:paraId="771D44C7" w14:textId="77777777" w:rsidR="00B6266D" w:rsidRPr="005F3916" w:rsidRDefault="00B6266D" w:rsidP="00B6266D">
      <w:pPr>
        <w:rPr>
          <w:sz w:val="32"/>
        </w:rPr>
      </w:pPr>
    </w:p>
    <w:p w14:paraId="30DD9556" w14:textId="41C355CB" w:rsidR="00B6266D" w:rsidRPr="005F3916" w:rsidRDefault="00B6266D" w:rsidP="00B6266D">
      <w:pPr>
        <w:rPr>
          <w:sz w:val="32"/>
        </w:rPr>
      </w:pPr>
      <w:r w:rsidRPr="005F3916">
        <w:rPr>
          <w:sz w:val="32"/>
        </w:rPr>
        <w:t>The general claim of conventionality conflates an issue of degree with a simple dichotomy:</w:t>
      </w:r>
    </w:p>
    <w:p w14:paraId="4A8F5689" w14:textId="126E16ED" w:rsidR="00B6266D" w:rsidRPr="005F3916" w:rsidRDefault="00B6266D" w:rsidP="00B6266D">
      <w:pPr>
        <w:rPr>
          <w:sz w:val="32"/>
        </w:rPr>
      </w:pPr>
      <w:r w:rsidRPr="005F3916">
        <w:rPr>
          <w:sz w:val="32"/>
        </w:rPr>
        <w:t>Merritt’s analysis: is X conventional or factual?</w:t>
      </w:r>
    </w:p>
    <w:p w14:paraId="1F120C49" w14:textId="5EA452F9" w:rsidR="00B6266D" w:rsidRPr="005F3916" w:rsidRDefault="00B6266D" w:rsidP="00B6266D">
      <w:pPr>
        <w:rPr>
          <w:sz w:val="32"/>
        </w:rPr>
      </w:pPr>
      <w:r w:rsidRPr="005F3916">
        <w:rPr>
          <w:sz w:val="32"/>
        </w:rPr>
        <w:t xml:space="preserve">Correct analysis: to what extent is X fixed by the evidence and to what extent is it </w:t>
      </w:r>
      <w:r w:rsidR="00B5096F" w:rsidRPr="005F3916">
        <w:rPr>
          <w:sz w:val="32"/>
        </w:rPr>
        <w:t>underdetermined by the evidence?</w:t>
      </w:r>
    </w:p>
    <w:p w14:paraId="23C9C663" w14:textId="77777777" w:rsidR="00B6266D" w:rsidRPr="005F3916" w:rsidRDefault="00B6266D" w:rsidP="00B6266D">
      <w:pPr>
        <w:rPr>
          <w:sz w:val="32"/>
        </w:rPr>
      </w:pPr>
    </w:p>
    <w:p w14:paraId="61A9E8E2" w14:textId="2E138330" w:rsidR="00B6266D" w:rsidRPr="005F3916" w:rsidRDefault="00CD27AC" w:rsidP="00B6266D">
      <w:pPr>
        <w:rPr>
          <w:sz w:val="32"/>
        </w:rPr>
      </w:pPr>
      <w:r w:rsidRPr="005F3916">
        <w:rPr>
          <w:sz w:val="32"/>
        </w:rPr>
        <w:t>Here is a t</w:t>
      </w:r>
      <w:r w:rsidR="00B6266D" w:rsidRPr="005F3916">
        <w:rPr>
          <w:sz w:val="32"/>
        </w:rPr>
        <w:t>est of whether an account of evidential relations is sensitive enough to deal with cosmology</w:t>
      </w:r>
      <w:r w:rsidRPr="005F3916">
        <w:rPr>
          <w:sz w:val="32"/>
        </w:rPr>
        <w:t>.</w:t>
      </w:r>
      <w:r w:rsidR="00B6266D" w:rsidRPr="005F3916">
        <w:rPr>
          <w:sz w:val="32"/>
        </w:rPr>
        <w:t xml:space="preserve"> Can it separate the two cases of dark energy and dark matter, coming to different verdicts on each? Popper’s account fails the test.</w:t>
      </w:r>
    </w:p>
    <w:p w14:paraId="7970A5C3" w14:textId="77777777" w:rsidR="00B6266D" w:rsidRPr="005F3916" w:rsidRDefault="00B6266D" w:rsidP="00B6266D">
      <w:pPr>
        <w:rPr>
          <w:sz w:val="32"/>
        </w:rPr>
      </w:pPr>
    </w:p>
    <w:p w14:paraId="506258C6" w14:textId="77777777" w:rsidR="0052392D" w:rsidRPr="005F3916" w:rsidRDefault="0052392D" w:rsidP="0052392D">
      <w:pPr>
        <w:pBdr>
          <w:top w:val="single" w:sz="4" w:space="1" w:color="auto"/>
        </w:pBdr>
        <w:rPr>
          <w:sz w:val="32"/>
        </w:rPr>
      </w:pPr>
    </w:p>
    <w:p w14:paraId="6AE7413E" w14:textId="5E3290DE" w:rsidR="00B6266D" w:rsidRPr="005F3916" w:rsidRDefault="00B6266D" w:rsidP="00B6266D">
      <w:pPr>
        <w:rPr>
          <w:sz w:val="32"/>
        </w:rPr>
      </w:pPr>
      <w:r w:rsidRPr="005F3916">
        <w:rPr>
          <w:sz w:val="32"/>
        </w:rPr>
        <w:t>Thesis 3.</w:t>
      </w:r>
    </w:p>
    <w:p w14:paraId="2B4A8971" w14:textId="2C839E72" w:rsidR="00D47354" w:rsidRPr="005F3916" w:rsidRDefault="00B6266D" w:rsidP="00F52F1E">
      <w:pPr>
        <w:rPr>
          <w:sz w:val="32"/>
        </w:rPr>
      </w:pPr>
      <w:r w:rsidRPr="005F3916">
        <w:rPr>
          <w:sz w:val="32"/>
        </w:rPr>
        <w:t>The claim is that t</w:t>
      </w:r>
      <w:r w:rsidR="00D47354" w:rsidRPr="005F3916">
        <w:rPr>
          <w:sz w:val="32"/>
        </w:rPr>
        <w:t xml:space="preserve">he concordance model provides confirmation for a set of parameters, but no independent confirmation of the value any single parameter. (This last point 3 is anomalous in the paper. I </w:t>
      </w:r>
      <w:r w:rsidR="00CC5102" w:rsidRPr="005F3916">
        <w:rPr>
          <w:sz w:val="32"/>
        </w:rPr>
        <w:t xml:space="preserve">am </w:t>
      </w:r>
      <w:r w:rsidR="00D47354" w:rsidRPr="005F3916">
        <w:rPr>
          <w:sz w:val="32"/>
        </w:rPr>
        <w:t>guessing it was added to fend off a pesky referee who didn’t find points 1 and 2 convincing.)</w:t>
      </w:r>
    </w:p>
    <w:sectPr w:rsidR="00D47354" w:rsidRPr="005F3916" w:rsidSect="00DD08BB">
      <w:footerReference w:type="even"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1CE08" w14:textId="77777777" w:rsidR="00F967EE" w:rsidRDefault="00F967EE" w:rsidP="00F52F1E">
      <w:pPr>
        <w:spacing w:line="240" w:lineRule="auto"/>
      </w:pPr>
      <w:r>
        <w:separator/>
      </w:r>
    </w:p>
  </w:endnote>
  <w:endnote w:type="continuationSeparator" w:id="0">
    <w:p w14:paraId="4D6BBEFB" w14:textId="77777777" w:rsidR="00F967EE" w:rsidRDefault="00F967EE" w:rsidP="00F52F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93509" w14:textId="77777777" w:rsidR="00F967EE" w:rsidRDefault="00F967EE" w:rsidP="001B68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9F1A1A" w14:textId="77777777" w:rsidR="00F967EE" w:rsidRDefault="00F967E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EFB2B" w14:textId="77777777" w:rsidR="00F967EE" w:rsidRDefault="00F967EE" w:rsidP="001B68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690F">
      <w:rPr>
        <w:rStyle w:val="PageNumber"/>
        <w:noProof/>
      </w:rPr>
      <w:t>1</w:t>
    </w:r>
    <w:r>
      <w:rPr>
        <w:rStyle w:val="PageNumber"/>
      </w:rPr>
      <w:fldChar w:fldCharType="end"/>
    </w:r>
  </w:p>
  <w:p w14:paraId="6ED6D2B9" w14:textId="77777777" w:rsidR="00F967EE" w:rsidRDefault="00F967E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8F4C8" w14:textId="77777777" w:rsidR="00F967EE" w:rsidRDefault="00F967EE" w:rsidP="00F52F1E">
      <w:pPr>
        <w:spacing w:line="240" w:lineRule="auto"/>
      </w:pPr>
      <w:r>
        <w:separator/>
      </w:r>
    </w:p>
  </w:footnote>
  <w:footnote w:type="continuationSeparator" w:id="0">
    <w:p w14:paraId="4F5F010E" w14:textId="77777777" w:rsidR="00F967EE" w:rsidRDefault="00F967EE" w:rsidP="00F52F1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A8B"/>
    <w:rsid w:val="000E70A7"/>
    <w:rsid w:val="001B68B3"/>
    <w:rsid w:val="001F5675"/>
    <w:rsid w:val="002B2C55"/>
    <w:rsid w:val="003D2DC3"/>
    <w:rsid w:val="004911E2"/>
    <w:rsid w:val="0049690F"/>
    <w:rsid w:val="0052392D"/>
    <w:rsid w:val="005F3916"/>
    <w:rsid w:val="00604253"/>
    <w:rsid w:val="00A05312"/>
    <w:rsid w:val="00B5096F"/>
    <w:rsid w:val="00B6266D"/>
    <w:rsid w:val="00BB0E71"/>
    <w:rsid w:val="00CC5102"/>
    <w:rsid w:val="00CD27AC"/>
    <w:rsid w:val="00D47354"/>
    <w:rsid w:val="00DB6A8B"/>
    <w:rsid w:val="00DC430A"/>
    <w:rsid w:val="00DD08BB"/>
    <w:rsid w:val="00DE530C"/>
    <w:rsid w:val="00ED4EC4"/>
    <w:rsid w:val="00F52F1E"/>
    <w:rsid w:val="00F967EE"/>
    <w:rsid w:val="00FF6FC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D78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F65"/>
    <w:pPr>
      <w:spacing w:line="360" w:lineRule="auto"/>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0E1F55"/>
    <w:rPr>
      <w:position w:val="6"/>
      <w:sz w:val="20"/>
      <w:vertAlign w:val="baseline"/>
    </w:rPr>
  </w:style>
  <w:style w:type="paragraph" w:styleId="Footer">
    <w:name w:val="footer"/>
    <w:basedOn w:val="Normal"/>
    <w:link w:val="FooterChar"/>
    <w:uiPriority w:val="99"/>
    <w:unhideWhenUsed/>
    <w:rsid w:val="00F52F1E"/>
    <w:pPr>
      <w:tabs>
        <w:tab w:val="center" w:pos="4320"/>
        <w:tab w:val="right" w:pos="8640"/>
      </w:tabs>
      <w:spacing w:line="240" w:lineRule="auto"/>
    </w:pPr>
  </w:style>
  <w:style w:type="character" w:customStyle="1" w:styleId="FooterChar">
    <w:name w:val="Footer Char"/>
    <w:basedOn w:val="DefaultParagraphFont"/>
    <w:link w:val="Footer"/>
    <w:uiPriority w:val="99"/>
    <w:rsid w:val="00F52F1E"/>
    <w:rPr>
      <w:rFonts w:ascii="Times" w:hAnsi="Times"/>
      <w:sz w:val="24"/>
    </w:rPr>
  </w:style>
  <w:style w:type="character" w:styleId="PageNumber">
    <w:name w:val="page number"/>
    <w:basedOn w:val="DefaultParagraphFont"/>
    <w:uiPriority w:val="99"/>
    <w:semiHidden/>
    <w:unhideWhenUsed/>
    <w:rsid w:val="00F52F1E"/>
  </w:style>
  <w:style w:type="table" w:styleId="TableGrid">
    <w:name w:val="Table Grid"/>
    <w:basedOn w:val="TableNormal"/>
    <w:uiPriority w:val="59"/>
    <w:rsid w:val="00D473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F65"/>
    <w:pPr>
      <w:spacing w:line="360" w:lineRule="auto"/>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0E1F55"/>
    <w:rPr>
      <w:position w:val="6"/>
      <w:sz w:val="20"/>
      <w:vertAlign w:val="baseline"/>
    </w:rPr>
  </w:style>
  <w:style w:type="paragraph" w:styleId="Footer">
    <w:name w:val="footer"/>
    <w:basedOn w:val="Normal"/>
    <w:link w:val="FooterChar"/>
    <w:uiPriority w:val="99"/>
    <w:unhideWhenUsed/>
    <w:rsid w:val="00F52F1E"/>
    <w:pPr>
      <w:tabs>
        <w:tab w:val="center" w:pos="4320"/>
        <w:tab w:val="right" w:pos="8640"/>
      </w:tabs>
      <w:spacing w:line="240" w:lineRule="auto"/>
    </w:pPr>
  </w:style>
  <w:style w:type="character" w:customStyle="1" w:styleId="FooterChar">
    <w:name w:val="Footer Char"/>
    <w:basedOn w:val="DefaultParagraphFont"/>
    <w:link w:val="Footer"/>
    <w:uiPriority w:val="99"/>
    <w:rsid w:val="00F52F1E"/>
    <w:rPr>
      <w:rFonts w:ascii="Times" w:hAnsi="Times"/>
      <w:sz w:val="24"/>
    </w:rPr>
  </w:style>
  <w:style w:type="character" w:styleId="PageNumber">
    <w:name w:val="page number"/>
    <w:basedOn w:val="DefaultParagraphFont"/>
    <w:uiPriority w:val="99"/>
    <w:semiHidden/>
    <w:unhideWhenUsed/>
    <w:rsid w:val="00F52F1E"/>
  </w:style>
  <w:style w:type="table" w:styleId="TableGrid">
    <w:name w:val="Table Grid"/>
    <w:basedOn w:val="TableNormal"/>
    <w:uiPriority w:val="59"/>
    <w:rsid w:val="00D473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772</Words>
  <Characters>4407</Characters>
  <Application>Microsoft Macintosh Word</Application>
  <DocSecurity>0</DocSecurity>
  <Lines>36</Lines>
  <Paragraphs>10</Paragraphs>
  <ScaleCrop>false</ScaleCrop>
  <Company>University of Pittsburgh</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Norton</dc:creator>
  <cp:keywords/>
  <dc:description/>
  <cp:lastModifiedBy>John Norton</cp:lastModifiedBy>
  <cp:revision>15</cp:revision>
  <cp:lastPrinted>2018-01-28T01:45:00Z</cp:lastPrinted>
  <dcterms:created xsi:type="dcterms:W3CDTF">2018-01-28T00:48:00Z</dcterms:created>
  <dcterms:modified xsi:type="dcterms:W3CDTF">2018-01-28T01:48:00Z</dcterms:modified>
</cp:coreProperties>
</file>