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5D37C" w14:textId="5DD99C7C" w:rsidR="00F52DF9" w:rsidRDefault="007C7566" w:rsidP="007C7566">
      <w:pPr>
        <w:spacing w:after="0"/>
        <w:jc w:val="right"/>
        <w:rPr>
          <w:rFonts w:ascii="Kokila" w:hAnsi="Kokila" w:cs="Kokila"/>
          <w:sz w:val="30"/>
          <w:szCs w:val="30"/>
        </w:rPr>
      </w:pPr>
      <w:r w:rsidRPr="007C7566">
        <w:rPr>
          <w:rFonts w:ascii="Kokila" w:hAnsi="Kokila" w:cs="Kokila"/>
          <w:sz w:val="30"/>
          <w:szCs w:val="30"/>
        </w:rPr>
        <w:t>“The Invisibility of Revolutions” &amp; “Exemplars, Incommensurability, and Revolutions,” Kuhn</w:t>
      </w:r>
    </w:p>
    <w:p w14:paraId="00552801" w14:textId="2CAD5B39" w:rsidR="007C7566" w:rsidRDefault="007C7566" w:rsidP="007C7566">
      <w:pPr>
        <w:spacing w:after="0"/>
        <w:jc w:val="right"/>
        <w:rPr>
          <w:rFonts w:ascii="Kokila" w:hAnsi="Kokila" w:cs="Kokila"/>
          <w:sz w:val="28"/>
          <w:szCs w:val="28"/>
        </w:rPr>
      </w:pPr>
      <w:r>
        <w:rPr>
          <w:rFonts w:ascii="Kokila" w:hAnsi="Kokila" w:cs="Kokila"/>
          <w:sz w:val="28"/>
          <w:szCs w:val="28"/>
        </w:rPr>
        <w:t>HPS 2103, Spring 2022</w:t>
      </w:r>
    </w:p>
    <w:p w14:paraId="11915248" w14:textId="0DAAFEE3" w:rsidR="007C7566" w:rsidRDefault="007C7566" w:rsidP="007C7566">
      <w:pPr>
        <w:spacing w:after="0"/>
        <w:jc w:val="right"/>
        <w:rPr>
          <w:rFonts w:ascii="Kokila" w:hAnsi="Kokila" w:cs="Kokila"/>
          <w:sz w:val="28"/>
          <w:szCs w:val="28"/>
        </w:rPr>
      </w:pPr>
      <w:r>
        <w:rPr>
          <w:rFonts w:ascii="Kokila" w:hAnsi="Kokila" w:cs="Kokila"/>
          <w:sz w:val="28"/>
          <w:szCs w:val="28"/>
        </w:rPr>
        <w:t>Caitlin Mace</w:t>
      </w:r>
    </w:p>
    <w:p w14:paraId="5DF36814" w14:textId="5CA4FB2F" w:rsidR="00C96686" w:rsidRDefault="00C96686" w:rsidP="00C96686">
      <w:pPr>
        <w:rPr>
          <w:rFonts w:ascii="Kokila" w:hAnsi="Kokila" w:cs="Kokila"/>
          <w:sz w:val="28"/>
          <w:szCs w:val="28"/>
        </w:rPr>
      </w:pPr>
      <w:r>
        <w:rPr>
          <w:rFonts w:ascii="Kokila" w:hAnsi="Kokila" w:cs="Kokila"/>
          <w:b/>
          <w:bCs/>
          <w:sz w:val="28"/>
          <w:szCs w:val="28"/>
        </w:rPr>
        <w:t>The Invisibility of Revolutions</w:t>
      </w:r>
    </w:p>
    <w:p w14:paraId="4045139D" w14:textId="70D645CF" w:rsidR="00C96686" w:rsidRDefault="00C12B79" w:rsidP="00C12B79">
      <w:pPr>
        <w:spacing w:after="0"/>
        <w:rPr>
          <w:rFonts w:ascii="Kokila" w:hAnsi="Kokila" w:cs="Kokila"/>
          <w:sz w:val="28"/>
          <w:szCs w:val="28"/>
        </w:rPr>
      </w:pPr>
      <w:r>
        <w:rPr>
          <w:rFonts w:ascii="Kokila" w:hAnsi="Kokila" w:cs="Kokila"/>
          <w:sz w:val="28"/>
          <w:szCs w:val="28"/>
        </w:rPr>
        <w:t>Three authoritative sources systematically render revolutions invisible by recording the stable outcome of revolutions that are the bases of the prevailing normal science:</w:t>
      </w:r>
    </w:p>
    <w:p w14:paraId="12C5125C" w14:textId="4BF18631" w:rsidR="00C12B79" w:rsidRDefault="00C12B79" w:rsidP="00C12B79">
      <w:pPr>
        <w:pStyle w:val="ListParagraph"/>
        <w:numPr>
          <w:ilvl w:val="0"/>
          <w:numId w:val="1"/>
        </w:numPr>
        <w:rPr>
          <w:rFonts w:ascii="Kokila" w:hAnsi="Kokila" w:cs="Kokila"/>
          <w:sz w:val="28"/>
          <w:szCs w:val="28"/>
        </w:rPr>
      </w:pPr>
      <w:r>
        <w:rPr>
          <w:rFonts w:ascii="Kokila" w:hAnsi="Kokila" w:cs="Kokila"/>
          <w:sz w:val="28"/>
          <w:szCs w:val="28"/>
        </w:rPr>
        <w:t>Scientific textbooks</w:t>
      </w:r>
    </w:p>
    <w:p w14:paraId="0BB5E616" w14:textId="0EBCB204" w:rsidR="00C12B79" w:rsidRDefault="00C12B79" w:rsidP="00C12B79">
      <w:pPr>
        <w:pStyle w:val="ListParagraph"/>
        <w:numPr>
          <w:ilvl w:val="0"/>
          <w:numId w:val="1"/>
        </w:numPr>
        <w:rPr>
          <w:rFonts w:ascii="Kokila" w:hAnsi="Kokila" w:cs="Kokila"/>
          <w:sz w:val="28"/>
          <w:szCs w:val="28"/>
        </w:rPr>
      </w:pPr>
      <w:r>
        <w:rPr>
          <w:rFonts w:ascii="Kokila" w:hAnsi="Kokila" w:cs="Kokila"/>
          <w:sz w:val="28"/>
          <w:szCs w:val="28"/>
        </w:rPr>
        <w:t>Popular Science</w:t>
      </w:r>
    </w:p>
    <w:p w14:paraId="78060024" w14:textId="6741132D" w:rsidR="00C12B79" w:rsidRDefault="00C12B79" w:rsidP="00C12B79">
      <w:pPr>
        <w:pStyle w:val="ListParagraph"/>
        <w:numPr>
          <w:ilvl w:val="0"/>
          <w:numId w:val="1"/>
        </w:numPr>
        <w:rPr>
          <w:rFonts w:ascii="Kokila" w:hAnsi="Kokila" w:cs="Kokila"/>
          <w:sz w:val="28"/>
          <w:szCs w:val="28"/>
        </w:rPr>
      </w:pPr>
      <w:r>
        <w:rPr>
          <w:rFonts w:ascii="Kokila" w:hAnsi="Kokila" w:cs="Kokila"/>
          <w:sz w:val="28"/>
          <w:szCs w:val="28"/>
        </w:rPr>
        <w:t>Philosophy of Science</w:t>
      </w:r>
    </w:p>
    <w:p w14:paraId="4689A4A7" w14:textId="760F4DC0" w:rsidR="00C12B79" w:rsidRDefault="00463B73" w:rsidP="0050309E">
      <w:pPr>
        <w:spacing w:after="0"/>
        <w:rPr>
          <w:rFonts w:ascii="Kokila" w:hAnsi="Kokila" w:cs="Kokila"/>
          <w:sz w:val="28"/>
          <w:szCs w:val="28"/>
        </w:rPr>
      </w:pPr>
      <w:r>
        <w:rPr>
          <w:rFonts w:ascii="Kokila" w:hAnsi="Kokila" w:cs="Kokila"/>
          <w:sz w:val="28"/>
          <w:szCs w:val="28"/>
        </w:rPr>
        <w:t xml:space="preserve">Particularly guilty are textbooks, which are rewritten post-revolution </w:t>
      </w:r>
      <w:r w:rsidR="0050309E">
        <w:rPr>
          <w:rFonts w:ascii="Kokila" w:hAnsi="Kokila" w:cs="Kokila"/>
          <w:sz w:val="28"/>
          <w:szCs w:val="28"/>
        </w:rPr>
        <w:t>and studied by new science students</w:t>
      </w:r>
      <w:r>
        <w:rPr>
          <w:rFonts w:ascii="Kokila" w:hAnsi="Kokila" w:cs="Kokila"/>
          <w:sz w:val="28"/>
          <w:szCs w:val="28"/>
        </w:rPr>
        <w:t>.</w:t>
      </w:r>
    </w:p>
    <w:p w14:paraId="4426BA02" w14:textId="15335580" w:rsidR="0050309E" w:rsidRDefault="0050309E" w:rsidP="0050309E">
      <w:pPr>
        <w:pStyle w:val="ListParagraph"/>
        <w:numPr>
          <w:ilvl w:val="0"/>
          <w:numId w:val="4"/>
        </w:numPr>
        <w:spacing w:after="120"/>
        <w:rPr>
          <w:rFonts w:ascii="Kokila" w:hAnsi="Kokila" w:cs="Kokila"/>
          <w:sz w:val="28"/>
          <w:szCs w:val="28"/>
        </w:rPr>
      </w:pPr>
      <w:r>
        <w:rPr>
          <w:rFonts w:ascii="Kokila" w:hAnsi="Kokila" w:cs="Kokila"/>
          <w:sz w:val="28"/>
          <w:szCs w:val="28"/>
        </w:rPr>
        <w:t xml:space="preserve">Refer to selective and distorted history </w:t>
      </w:r>
      <w:r w:rsidR="00D20B6C">
        <w:rPr>
          <w:rFonts w:ascii="Kokila" w:hAnsi="Kokila" w:cs="Kokila"/>
          <w:sz w:val="28"/>
          <w:szCs w:val="28"/>
        </w:rPr>
        <w:t>which portrays</w:t>
      </w:r>
      <w:r>
        <w:rPr>
          <w:rFonts w:ascii="Kokila" w:hAnsi="Kokila" w:cs="Kokila"/>
          <w:sz w:val="28"/>
          <w:szCs w:val="28"/>
        </w:rPr>
        <w:t xml:space="preserve"> </w:t>
      </w:r>
      <w:r w:rsidR="00D20B6C">
        <w:rPr>
          <w:rFonts w:ascii="Kokila" w:hAnsi="Kokila" w:cs="Kokila"/>
          <w:sz w:val="28"/>
          <w:szCs w:val="28"/>
        </w:rPr>
        <w:t xml:space="preserve">past </w:t>
      </w:r>
      <w:r>
        <w:rPr>
          <w:rFonts w:ascii="Kokila" w:hAnsi="Kokila" w:cs="Kokila"/>
          <w:sz w:val="28"/>
          <w:szCs w:val="28"/>
        </w:rPr>
        <w:t xml:space="preserve">scientists </w:t>
      </w:r>
      <w:r w:rsidR="00D20B6C">
        <w:rPr>
          <w:rFonts w:ascii="Kokila" w:hAnsi="Kokila" w:cs="Kokila"/>
          <w:sz w:val="28"/>
          <w:szCs w:val="28"/>
        </w:rPr>
        <w:t xml:space="preserve">as </w:t>
      </w:r>
      <w:r>
        <w:rPr>
          <w:rFonts w:ascii="Kokila" w:hAnsi="Kokila" w:cs="Kokila"/>
          <w:sz w:val="28"/>
          <w:szCs w:val="28"/>
        </w:rPr>
        <w:t>working on th</w:t>
      </w:r>
      <w:r w:rsidR="00D20B6C">
        <w:rPr>
          <w:rFonts w:ascii="Kokila" w:hAnsi="Kokila" w:cs="Kokila"/>
          <w:sz w:val="28"/>
          <w:szCs w:val="28"/>
        </w:rPr>
        <w:t xml:space="preserve">e </w:t>
      </w:r>
      <w:r>
        <w:rPr>
          <w:rFonts w:ascii="Kokila" w:hAnsi="Kokila" w:cs="Kokila"/>
          <w:sz w:val="28"/>
          <w:szCs w:val="28"/>
        </w:rPr>
        <w:t xml:space="preserve">problems </w:t>
      </w:r>
      <w:r w:rsidR="00D20B6C">
        <w:rPr>
          <w:rFonts w:ascii="Kokila" w:hAnsi="Kokila" w:cs="Kokila"/>
          <w:sz w:val="28"/>
          <w:szCs w:val="28"/>
        </w:rPr>
        <w:t xml:space="preserve">of the current paradigm, lending to the </w:t>
      </w:r>
      <w:r>
        <w:rPr>
          <w:rFonts w:ascii="Kokila" w:hAnsi="Kokila" w:cs="Kokila"/>
          <w:sz w:val="28"/>
          <w:szCs w:val="28"/>
        </w:rPr>
        <w:t>view</w:t>
      </w:r>
      <w:r w:rsidR="00D20B6C">
        <w:rPr>
          <w:rFonts w:ascii="Kokila" w:hAnsi="Kokila" w:cs="Kokila"/>
          <w:sz w:val="28"/>
          <w:szCs w:val="28"/>
        </w:rPr>
        <w:t xml:space="preserve"> that they </w:t>
      </w:r>
      <w:r>
        <w:rPr>
          <w:rFonts w:ascii="Kokila" w:hAnsi="Kokila" w:cs="Kokila"/>
          <w:sz w:val="28"/>
          <w:szCs w:val="28"/>
        </w:rPr>
        <w:t>contribut</w:t>
      </w:r>
      <w:r w:rsidR="00D20B6C">
        <w:rPr>
          <w:rFonts w:ascii="Kokila" w:hAnsi="Kokila" w:cs="Kokila"/>
          <w:sz w:val="28"/>
          <w:szCs w:val="28"/>
        </w:rPr>
        <w:t>ed</w:t>
      </w:r>
      <w:r>
        <w:rPr>
          <w:rFonts w:ascii="Kokila" w:hAnsi="Kokila" w:cs="Kokila"/>
          <w:sz w:val="28"/>
          <w:szCs w:val="28"/>
        </w:rPr>
        <w:t xml:space="preserve"> to the current paradigm.</w:t>
      </w:r>
    </w:p>
    <w:p w14:paraId="6D63C4C6" w14:textId="6DA4BFEF" w:rsidR="00121F9E" w:rsidRDefault="00121F9E" w:rsidP="00121F9E">
      <w:pPr>
        <w:pStyle w:val="ListParagraph"/>
        <w:numPr>
          <w:ilvl w:val="0"/>
          <w:numId w:val="4"/>
        </w:numPr>
        <w:rPr>
          <w:rFonts w:ascii="Kokila" w:hAnsi="Kokila" w:cs="Kokila"/>
          <w:sz w:val="28"/>
          <w:szCs w:val="28"/>
        </w:rPr>
      </w:pPr>
      <w:r>
        <w:rPr>
          <w:rFonts w:ascii="Kokila" w:hAnsi="Kokila" w:cs="Kokila"/>
          <w:sz w:val="28"/>
          <w:szCs w:val="28"/>
        </w:rPr>
        <w:t xml:space="preserve">Historical fact is depreciated; </w:t>
      </w:r>
      <w:r w:rsidR="00C2175D">
        <w:rPr>
          <w:rFonts w:ascii="Kokila" w:hAnsi="Kokila" w:cs="Kokila"/>
          <w:sz w:val="28"/>
          <w:szCs w:val="28"/>
        </w:rPr>
        <w:t>scientists “f</w:t>
      </w:r>
      <w:r w:rsidRPr="00121F9E">
        <w:rPr>
          <w:rFonts w:ascii="Kokila" w:hAnsi="Kokila" w:cs="Kokila"/>
          <w:sz w:val="28"/>
          <w:szCs w:val="28"/>
        </w:rPr>
        <w:t>ortunately […] forget or revise”</w:t>
      </w:r>
      <w:r w:rsidR="00C2175D">
        <w:rPr>
          <w:rFonts w:ascii="Kokila" w:hAnsi="Kokila" w:cs="Kokila"/>
          <w:sz w:val="28"/>
          <w:szCs w:val="28"/>
        </w:rPr>
        <w:t xml:space="preserve"> their heroes</w:t>
      </w:r>
      <w:r w:rsidR="004B5EBF">
        <w:rPr>
          <w:rFonts w:ascii="Kokila" w:hAnsi="Kokila" w:cs="Kokila"/>
          <w:sz w:val="28"/>
          <w:szCs w:val="28"/>
        </w:rPr>
        <w:t>’</w:t>
      </w:r>
      <w:r w:rsidR="00C2175D">
        <w:rPr>
          <w:rFonts w:ascii="Kokila" w:hAnsi="Kokila" w:cs="Kokila"/>
          <w:sz w:val="28"/>
          <w:szCs w:val="28"/>
        </w:rPr>
        <w:t xml:space="preserve"> works</w:t>
      </w:r>
      <w:r w:rsidRPr="00121F9E">
        <w:rPr>
          <w:rFonts w:ascii="Kokila" w:hAnsi="Kokila" w:cs="Kokila"/>
          <w:sz w:val="28"/>
          <w:szCs w:val="28"/>
        </w:rPr>
        <w:t xml:space="preserve"> (139). </w:t>
      </w:r>
      <w:r>
        <w:rPr>
          <w:rFonts w:ascii="Kokila" w:hAnsi="Kokila" w:cs="Kokila"/>
          <w:sz w:val="28"/>
          <w:szCs w:val="28"/>
        </w:rPr>
        <w:t xml:space="preserve">“Forgetting” is an unavoidable and apparently useful aspect of working within a paradigm. </w:t>
      </w:r>
      <w:r w:rsidRPr="00DC190C">
        <w:rPr>
          <w:rFonts w:ascii="Kokila" w:hAnsi="Kokila" w:cs="Kokila"/>
          <w:sz w:val="28"/>
          <w:szCs w:val="28"/>
        </w:rPr>
        <w:t>“A science that hesitates to forget its founders is lost” (Whitehead, as quoted by Kuhn,</w:t>
      </w:r>
      <w:r w:rsidR="00C2175D">
        <w:rPr>
          <w:rFonts w:ascii="Kokila" w:hAnsi="Kokila" w:cs="Kokila"/>
          <w:sz w:val="28"/>
          <w:szCs w:val="28"/>
        </w:rPr>
        <w:t xml:space="preserve"> </w:t>
      </w:r>
      <w:r w:rsidRPr="00DC190C">
        <w:rPr>
          <w:rFonts w:ascii="Kokila" w:hAnsi="Kokila" w:cs="Kokila"/>
          <w:sz w:val="28"/>
          <w:szCs w:val="28"/>
        </w:rPr>
        <w:t>138)</w:t>
      </w:r>
      <w:r>
        <w:rPr>
          <w:rFonts w:ascii="Kokila" w:hAnsi="Kokila" w:cs="Kokila"/>
          <w:sz w:val="28"/>
          <w:szCs w:val="28"/>
        </w:rPr>
        <w:t>.</w:t>
      </w:r>
    </w:p>
    <w:p w14:paraId="38A58458" w14:textId="5E27E7F2" w:rsidR="00121F9E" w:rsidRPr="00121F9E" w:rsidRDefault="00121F9E" w:rsidP="00121F9E">
      <w:pPr>
        <w:spacing w:after="120"/>
        <w:rPr>
          <w:rFonts w:ascii="Kokila" w:hAnsi="Kokila" w:cs="Kokila"/>
          <w:sz w:val="28"/>
          <w:szCs w:val="28"/>
        </w:rPr>
      </w:pPr>
      <w:r w:rsidRPr="00121F9E">
        <w:rPr>
          <w:rFonts w:ascii="Kokila" w:hAnsi="Kokila" w:cs="Kokila"/>
          <w:sz w:val="28"/>
          <w:szCs w:val="28"/>
        </w:rPr>
        <w:t xml:space="preserve">The result of disguising the existence of revolutions is that science looks linear and cumulative. </w:t>
      </w:r>
    </w:p>
    <w:p w14:paraId="0ADB1D2C" w14:textId="561D9EF8" w:rsidR="0040020A" w:rsidRDefault="00136A85" w:rsidP="00600F5A">
      <w:pPr>
        <w:ind w:left="360" w:hanging="360"/>
        <w:rPr>
          <w:rFonts w:ascii="Kokila" w:hAnsi="Kokila" w:cs="Kokila"/>
          <w:sz w:val="28"/>
          <w:szCs w:val="28"/>
        </w:rPr>
      </w:pPr>
      <w:r>
        <w:pict w14:anchorId="691582BB">
          <v:shape id="Picture 1" o:spid="_x0000_i1033" type="#_x0000_t75" alt="gem" style="width:14.4pt;height:13.2pt;visibility:visible;mso-wrap-style:square" o:bullet="t">
            <v:imagedata r:id="rId5" o:title="gem"/>
          </v:shape>
        </w:pict>
      </w:r>
      <w:r w:rsidR="00DC190C">
        <w:rPr>
          <w:rFonts w:ascii="Kokila" w:hAnsi="Kokila" w:cs="Kokila"/>
          <w:sz w:val="28"/>
          <w:szCs w:val="28"/>
        </w:rPr>
        <w:t xml:space="preserve">  </w:t>
      </w:r>
      <w:r w:rsidR="00F47E4C">
        <w:rPr>
          <w:rFonts w:ascii="Kokila" w:hAnsi="Kokila" w:cs="Kokila"/>
          <w:sz w:val="28"/>
          <w:szCs w:val="28"/>
        </w:rPr>
        <w:t xml:space="preserve">Textbooks present theories as fitting the </w:t>
      </w:r>
      <w:r w:rsidR="009C28BA">
        <w:rPr>
          <w:rFonts w:ascii="Kokila" w:hAnsi="Kokila" w:cs="Kokila"/>
          <w:sz w:val="28"/>
          <w:szCs w:val="28"/>
        </w:rPr>
        <w:t xml:space="preserve">“piecemeal-discovered </w:t>
      </w:r>
      <w:r w:rsidR="00F47E4C">
        <w:rPr>
          <w:rFonts w:ascii="Kokila" w:hAnsi="Kokila" w:cs="Kokila"/>
          <w:sz w:val="28"/>
          <w:szCs w:val="28"/>
        </w:rPr>
        <w:t>facts</w:t>
      </w:r>
      <w:r w:rsidR="009C28BA">
        <w:rPr>
          <w:rFonts w:ascii="Kokila" w:hAnsi="Kokila" w:cs="Kokila"/>
          <w:sz w:val="28"/>
          <w:szCs w:val="28"/>
        </w:rPr>
        <w:t>” (141).</w:t>
      </w:r>
      <w:r w:rsidR="00F47E4C">
        <w:rPr>
          <w:rFonts w:ascii="Kokila" w:hAnsi="Kokila" w:cs="Kokila"/>
          <w:sz w:val="28"/>
          <w:szCs w:val="28"/>
        </w:rPr>
        <w:t xml:space="preserve"> But the so-called “facts” </w:t>
      </w:r>
      <w:r w:rsidR="009C28BA">
        <w:rPr>
          <w:rFonts w:ascii="Kokila" w:hAnsi="Kokila" w:cs="Kokila"/>
          <w:sz w:val="28"/>
          <w:szCs w:val="28"/>
        </w:rPr>
        <w:t>are paradigm dependent</w:t>
      </w:r>
      <w:r w:rsidR="00F47E4C">
        <w:rPr>
          <w:rFonts w:ascii="Kokila" w:hAnsi="Kokila" w:cs="Kokila"/>
          <w:sz w:val="28"/>
          <w:szCs w:val="28"/>
        </w:rPr>
        <w:t>. “[Theories] emerge together with the facts they fit</w:t>
      </w:r>
      <w:r w:rsidR="00C2175D">
        <w:rPr>
          <w:rFonts w:ascii="Kokila" w:hAnsi="Kokila" w:cs="Kokila"/>
          <w:sz w:val="28"/>
          <w:szCs w:val="28"/>
        </w:rPr>
        <w:t>” (</w:t>
      </w:r>
      <w:r w:rsidR="009C28BA">
        <w:rPr>
          <w:rFonts w:ascii="Kokila" w:hAnsi="Kokila" w:cs="Kokila"/>
          <w:sz w:val="28"/>
          <w:szCs w:val="28"/>
        </w:rPr>
        <w:t>Ibid.</w:t>
      </w:r>
      <w:r w:rsidR="00C2175D">
        <w:rPr>
          <w:rFonts w:ascii="Kokila" w:hAnsi="Kokila" w:cs="Kokila"/>
          <w:sz w:val="28"/>
          <w:szCs w:val="28"/>
        </w:rPr>
        <w:t xml:space="preserve">). </w:t>
      </w:r>
    </w:p>
    <w:p w14:paraId="49686909" w14:textId="66FC2A17" w:rsidR="00136A85" w:rsidRDefault="00136A85" w:rsidP="00600F5A">
      <w:pPr>
        <w:ind w:left="360" w:hanging="360"/>
        <w:rPr>
          <w:rFonts w:ascii="Kokila" w:hAnsi="Kokila" w:cs="Kokila"/>
          <w:sz w:val="28"/>
          <w:szCs w:val="28"/>
        </w:rPr>
      </w:pPr>
      <w:r>
        <w:rPr>
          <w:rFonts w:ascii="Kokila" w:hAnsi="Kokila" w:cs="Kokila"/>
          <w:b/>
          <w:bCs/>
          <w:sz w:val="28"/>
          <w:szCs w:val="28"/>
        </w:rPr>
        <w:t>The Resolution of Revolutions</w:t>
      </w:r>
    </w:p>
    <w:p w14:paraId="72E7A9D7" w14:textId="47D92DA6" w:rsidR="00136A85" w:rsidRDefault="00D62F7B" w:rsidP="00475A1A">
      <w:pPr>
        <w:spacing w:after="0"/>
        <w:rPr>
          <w:rFonts w:ascii="Kokila" w:hAnsi="Kokila" w:cs="Kokila"/>
          <w:sz w:val="28"/>
          <w:szCs w:val="28"/>
        </w:rPr>
      </w:pPr>
      <w:r>
        <w:rPr>
          <w:rFonts w:ascii="Kokila" w:hAnsi="Kokila" w:cs="Kokila"/>
          <w:sz w:val="28"/>
          <w:szCs w:val="28"/>
        </w:rPr>
        <w:t xml:space="preserve">Paradigm-testing in </w:t>
      </w:r>
      <w:r w:rsidR="00BE45F7">
        <w:rPr>
          <w:rFonts w:ascii="Kokila" w:hAnsi="Kokila" w:cs="Kokila"/>
          <w:sz w:val="28"/>
          <w:szCs w:val="28"/>
        </w:rPr>
        <w:t>crisis science</w:t>
      </w:r>
      <w:r w:rsidR="00F23DB5">
        <w:rPr>
          <w:rFonts w:ascii="Kokila" w:hAnsi="Kokila" w:cs="Kokila"/>
          <w:sz w:val="28"/>
          <w:szCs w:val="28"/>
        </w:rPr>
        <w:t xml:space="preserve"> does not proceed by verification or falsification of theories. Because we are concerned with how well theories fit the facts, we can ask which of the competing theories fits them better (147).</w:t>
      </w:r>
      <w:r w:rsidR="00475A1A">
        <w:rPr>
          <w:rFonts w:ascii="Kokila" w:hAnsi="Kokila" w:cs="Kokila"/>
          <w:sz w:val="28"/>
          <w:szCs w:val="28"/>
        </w:rPr>
        <w:t xml:space="preserve"> Here enters the problem of incommensurability.</w:t>
      </w:r>
    </w:p>
    <w:p w14:paraId="71B92739" w14:textId="4A523FAC" w:rsidR="00475A1A" w:rsidRDefault="00475A1A" w:rsidP="00475A1A">
      <w:pPr>
        <w:pStyle w:val="ListParagraph"/>
        <w:numPr>
          <w:ilvl w:val="0"/>
          <w:numId w:val="4"/>
        </w:numPr>
        <w:rPr>
          <w:rFonts w:ascii="Kokila" w:hAnsi="Kokila" w:cs="Kokila"/>
          <w:sz w:val="28"/>
          <w:szCs w:val="28"/>
        </w:rPr>
      </w:pPr>
      <w:r>
        <w:rPr>
          <w:rFonts w:ascii="Kokila" w:hAnsi="Kokila" w:cs="Kokila"/>
          <w:sz w:val="28"/>
          <w:szCs w:val="28"/>
        </w:rPr>
        <w:t>Disagree about problems that a candidate must solve.</w:t>
      </w:r>
    </w:p>
    <w:p w14:paraId="506189EB" w14:textId="52F6856B" w:rsidR="00AD7E79" w:rsidRDefault="00AD7E79" w:rsidP="00475A1A">
      <w:pPr>
        <w:pStyle w:val="ListParagraph"/>
        <w:numPr>
          <w:ilvl w:val="0"/>
          <w:numId w:val="4"/>
        </w:numPr>
        <w:rPr>
          <w:rFonts w:ascii="Kokila" w:hAnsi="Kokila" w:cs="Kokila"/>
          <w:sz w:val="28"/>
          <w:szCs w:val="28"/>
        </w:rPr>
      </w:pPr>
      <w:r>
        <w:rPr>
          <w:rFonts w:ascii="Kokila" w:hAnsi="Kokila" w:cs="Kokila"/>
          <w:sz w:val="28"/>
          <w:szCs w:val="28"/>
        </w:rPr>
        <w:t>The new paradigm borrows elements of the old, but use them in different ways, leading to misunderstanding.</w:t>
      </w:r>
    </w:p>
    <w:p w14:paraId="56693A14" w14:textId="58F3D1F6" w:rsidR="00AD7E79" w:rsidRDefault="0062598E" w:rsidP="00475A1A">
      <w:pPr>
        <w:pStyle w:val="ListParagraph"/>
        <w:numPr>
          <w:ilvl w:val="0"/>
          <w:numId w:val="4"/>
        </w:numPr>
        <w:rPr>
          <w:rFonts w:ascii="Kokila" w:hAnsi="Kokila" w:cs="Kokila"/>
          <w:sz w:val="28"/>
          <w:szCs w:val="28"/>
        </w:rPr>
      </w:pPr>
      <w:r>
        <w:rPr>
          <w:rFonts w:ascii="Kokila" w:hAnsi="Kokila" w:cs="Kokila"/>
          <w:sz w:val="28"/>
          <w:szCs w:val="28"/>
        </w:rPr>
        <w:t>“The proponents of competing paradigms practice their trades in different worlds” (150).</w:t>
      </w:r>
    </w:p>
    <w:p w14:paraId="2CE981CF" w14:textId="4B627F43" w:rsidR="009C1A05" w:rsidRDefault="009C1A05" w:rsidP="001F618F">
      <w:pPr>
        <w:ind w:left="360" w:hanging="360"/>
        <w:rPr>
          <w:rFonts w:ascii="Kokila" w:hAnsi="Kokila" w:cs="Kokila"/>
          <w:b/>
          <w:bCs/>
          <w:sz w:val="28"/>
          <w:szCs w:val="28"/>
        </w:rPr>
      </w:pPr>
      <w:r>
        <w:rPr>
          <w:rFonts w:ascii="Kokila" w:hAnsi="Kokila" w:cs="Kokila"/>
          <w:b/>
          <w:bCs/>
          <w:sz w:val="28"/>
          <w:szCs w:val="28"/>
        </w:rPr>
        <w:t>Exemplars, Incommensurability, and Revolutions</w:t>
      </w:r>
    </w:p>
    <w:p w14:paraId="1CB90A07" w14:textId="4FFAD3E3" w:rsidR="001F618F" w:rsidRDefault="00D10B25" w:rsidP="00D10B25">
      <w:pPr>
        <w:spacing w:after="0"/>
        <w:rPr>
          <w:rFonts w:ascii="Kokila" w:hAnsi="Kokila" w:cs="Kokila"/>
          <w:sz w:val="28"/>
          <w:szCs w:val="28"/>
        </w:rPr>
      </w:pPr>
      <w:r>
        <w:rPr>
          <w:rFonts w:ascii="Kokila" w:hAnsi="Kokila" w:cs="Kokila"/>
          <w:sz w:val="28"/>
          <w:szCs w:val="28"/>
        </w:rPr>
        <w:t xml:space="preserve">Theory choice is not a matter settled by logical or mathematical proof, but by reasons that function as values. </w:t>
      </w:r>
      <w:r w:rsidR="002403FE">
        <w:rPr>
          <w:rFonts w:ascii="Kokila" w:hAnsi="Kokila" w:cs="Kokila"/>
          <w:sz w:val="28"/>
          <w:szCs w:val="28"/>
        </w:rPr>
        <w:t xml:space="preserve">This is due to incommensurability, here described as:  </w:t>
      </w:r>
    </w:p>
    <w:p w14:paraId="282A5E58" w14:textId="12F60F34" w:rsidR="00D10B25" w:rsidRDefault="00D10B25" w:rsidP="00D10B25">
      <w:pPr>
        <w:pStyle w:val="ListParagraph"/>
        <w:numPr>
          <w:ilvl w:val="0"/>
          <w:numId w:val="3"/>
        </w:numPr>
        <w:spacing w:after="120"/>
        <w:rPr>
          <w:rFonts w:ascii="Kokila" w:hAnsi="Kokila" w:cs="Kokila"/>
          <w:sz w:val="28"/>
          <w:szCs w:val="28"/>
        </w:rPr>
      </w:pPr>
      <w:r>
        <w:rPr>
          <w:rFonts w:ascii="Kokila" w:hAnsi="Kokila" w:cs="Kokila"/>
          <w:sz w:val="28"/>
          <w:szCs w:val="28"/>
        </w:rPr>
        <w:t>Different scientific communities share terminology that attaches to nature differently, leading to only partial communication.</w:t>
      </w:r>
    </w:p>
    <w:p w14:paraId="04B1FAD0" w14:textId="429919B2" w:rsidR="00D10B25" w:rsidRDefault="00D10B25" w:rsidP="00D10B25">
      <w:pPr>
        <w:pStyle w:val="ListParagraph"/>
        <w:numPr>
          <w:ilvl w:val="0"/>
          <w:numId w:val="3"/>
        </w:numPr>
        <w:spacing w:after="120"/>
        <w:rPr>
          <w:rFonts w:ascii="Kokila" w:hAnsi="Kokila" w:cs="Kokila"/>
          <w:sz w:val="28"/>
          <w:szCs w:val="28"/>
        </w:rPr>
      </w:pPr>
      <w:r>
        <w:rPr>
          <w:rFonts w:ascii="Kokila" w:hAnsi="Kokila" w:cs="Kokila"/>
          <w:sz w:val="28"/>
          <w:szCs w:val="28"/>
        </w:rPr>
        <w:lastRenderedPageBreak/>
        <w:t>Normal science depends on primitive groupings of similarity sets based on exemplars, and redistribution of these sets leads to communication breakdown.</w:t>
      </w:r>
    </w:p>
    <w:p w14:paraId="067B9C1B" w14:textId="420A0C09" w:rsidR="00D10B25" w:rsidRDefault="00D10B25" w:rsidP="003C2A16">
      <w:pPr>
        <w:pStyle w:val="ListParagraph"/>
        <w:numPr>
          <w:ilvl w:val="0"/>
          <w:numId w:val="3"/>
        </w:numPr>
        <w:rPr>
          <w:rFonts w:ascii="Kokila" w:hAnsi="Kokila" w:cs="Kokila"/>
          <w:sz w:val="28"/>
          <w:szCs w:val="28"/>
        </w:rPr>
      </w:pPr>
      <w:r>
        <w:rPr>
          <w:rFonts w:ascii="Kokila" w:hAnsi="Kokila" w:cs="Kokila"/>
          <w:sz w:val="28"/>
          <w:szCs w:val="28"/>
        </w:rPr>
        <w:t>No neutral language is available for adjudication.</w:t>
      </w:r>
    </w:p>
    <w:p w14:paraId="35486A62" w14:textId="69ABA3DA" w:rsidR="003C2A16" w:rsidRPr="003C2A16" w:rsidRDefault="00D10B25" w:rsidP="00B31AF9">
      <w:pPr>
        <w:spacing w:after="120"/>
        <w:rPr>
          <w:rFonts w:ascii="Kokila" w:hAnsi="Kokila" w:cs="Kokila"/>
          <w:sz w:val="28"/>
          <w:szCs w:val="28"/>
        </w:rPr>
      </w:pPr>
      <w:r>
        <w:rPr>
          <w:rFonts w:ascii="Kokila" w:hAnsi="Kokila" w:cs="Kokila"/>
          <w:sz w:val="28"/>
          <w:szCs w:val="28"/>
        </w:rPr>
        <w:t>Once scientific communities recognize each other as different language communities, scientists can act as translators</w:t>
      </w:r>
      <w:r w:rsidR="000C15A5">
        <w:rPr>
          <w:rFonts w:ascii="Kokila" w:hAnsi="Kokila" w:cs="Kokila"/>
          <w:sz w:val="28"/>
          <w:szCs w:val="28"/>
        </w:rPr>
        <w:t xml:space="preserve"> (by identifying the disparate then the shared terms/locutions; i.e., stop doing science?)</w:t>
      </w:r>
      <w:r w:rsidR="003C2A16">
        <w:rPr>
          <w:rFonts w:ascii="Kokila" w:hAnsi="Kokila" w:cs="Kokila"/>
          <w:sz w:val="28"/>
          <w:szCs w:val="28"/>
        </w:rPr>
        <w:t xml:space="preserve">. </w:t>
      </w:r>
    </w:p>
    <w:p w14:paraId="1A2A676E" w14:textId="41716B21" w:rsidR="008D70D0" w:rsidRDefault="00136A85" w:rsidP="00600F5A">
      <w:pPr>
        <w:ind w:left="360" w:hanging="360"/>
        <w:rPr>
          <w:rFonts w:ascii="Kokila" w:hAnsi="Kokila" w:cs="Kokila"/>
          <w:sz w:val="28"/>
          <w:szCs w:val="28"/>
        </w:rPr>
      </w:pPr>
      <w:r>
        <w:pict w14:anchorId="0754A45F">
          <v:shape id="Picture 2" o:spid="_x0000_i1028" type="#_x0000_t75" alt="gem" style="width:14.4pt;height:13.2pt;visibility:visible;mso-wrap-style:square" o:bullet="t">
            <v:imagedata r:id="rId6" o:title="gem"/>
          </v:shape>
        </w:pict>
      </w:r>
      <w:r w:rsidR="008D70D0">
        <w:rPr>
          <w:rFonts w:ascii="Kokila" w:hAnsi="Kokila" w:cs="Kokila"/>
          <w:sz w:val="28"/>
          <w:szCs w:val="28"/>
        </w:rPr>
        <w:t xml:space="preserve"> </w:t>
      </w:r>
      <w:r w:rsidR="00D34A19">
        <w:rPr>
          <w:rFonts w:ascii="Kokila" w:hAnsi="Kokila" w:cs="Kokila"/>
          <w:sz w:val="28"/>
          <w:szCs w:val="28"/>
        </w:rPr>
        <w:t>“Each will have learned to translate the other’s theory and its consequences into his own language and simultaneously to describe in his language the world to which that theory applies. This is what the historian of science regularly does (or should) when dealing with out-of-date scientific theories” (202). Is this a good methodology for historians</w:t>
      </w:r>
      <w:r w:rsidR="00D14ED5">
        <w:rPr>
          <w:rFonts w:ascii="Kokila" w:hAnsi="Kokila" w:cs="Kokila"/>
          <w:sz w:val="28"/>
          <w:szCs w:val="28"/>
        </w:rPr>
        <w:t xml:space="preserve"> of science</w:t>
      </w:r>
      <w:r w:rsidR="00D34A19">
        <w:rPr>
          <w:rFonts w:ascii="Kokila" w:hAnsi="Kokila" w:cs="Kokila"/>
          <w:sz w:val="28"/>
          <w:szCs w:val="28"/>
        </w:rPr>
        <w:t>?</w:t>
      </w:r>
    </w:p>
    <w:p w14:paraId="7BB196C8" w14:textId="77777777" w:rsidR="00B31AF9" w:rsidRDefault="00B31AF9" w:rsidP="00B31AF9">
      <w:pPr>
        <w:spacing w:after="0"/>
        <w:rPr>
          <w:rFonts w:ascii="Kokila" w:hAnsi="Kokila" w:cs="Kokila"/>
          <w:sz w:val="28"/>
          <w:szCs w:val="28"/>
        </w:rPr>
      </w:pPr>
      <w:r>
        <w:rPr>
          <w:rFonts w:ascii="Kokila" w:hAnsi="Kokila" w:cs="Kokila"/>
          <w:sz w:val="28"/>
          <w:szCs w:val="28"/>
        </w:rPr>
        <w:t>Translation is a means for persuasion and conversion.</w:t>
      </w:r>
    </w:p>
    <w:p w14:paraId="66F27429" w14:textId="77777777" w:rsidR="00B31AF9" w:rsidRPr="003C2A16" w:rsidRDefault="00B31AF9" w:rsidP="00B31AF9">
      <w:pPr>
        <w:spacing w:after="0"/>
        <w:ind w:left="1440" w:hanging="1080"/>
        <w:rPr>
          <w:rFonts w:ascii="Kokila" w:hAnsi="Kokila" w:cs="Kokila"/>
          <w:sz w:val="28"/>
          <w:szCs w:val="28"/>
        </w:rPr>
      </w:pPr>
      <w:r w:rsidRPr="003C2A16">
        <w:rPr>
          <w:rFonts w:ascii="Kokila" w:hAnsi="Kokila" w:cs="Kokila"/>
          <w:i/>
          <w:iCs/>
          <w:sz w:val="28"/>
          <w:szCs w:val="28"/>
        </w:rPr>
        <w:t>Persuasion</w:t>
      </w:r>
      <w:r>
        <w:rPr>
          <w:rFonts w:ascii="Kokila" w:hAnsi="Kokila" w:cs="Kokila"/>
          <w:i/>
          <w:iCs/>
          <w:sz w:val="28"/>
          <w:szCs w:val="28"/>
        </w:rPr>
        <w:t xml:space="preserve"> </w:t>
      </w:r>
      <w:r>
        <w:rPr>
          <w:rFonts w:ascii="Kokila" w:hAnsi="Kokila" w:cs="Kokila"/>
          <w:sz w:val="28"/>
          <w:szCs w:val="28"/>
        </w:rPr>
        <w:t>“to convince [someone] that one’s own view is superior and ought to supplant his own” (203); work of persuaded scientists is parasitic on those who are converted.</w:t>
      </w:r>
    </w:p>
    <w:p w14:paraId="1D56EB4F" w14:textId="13451EB2" w:rsidR="00D64568" w:rsidRDefault="00B31AF9" w:rsidP="00C76003">
      <w:pPr>
        <w:ind w:left="1440" w:hanging="1080"/>
        <w:rPr>
          <w:rFonts w:ascii="Kokila" w:hAnsi="Kokila" w:cs="Kokila"/>
          <w:sz w:val="28"/>
          <w:szCs w:val="28"/>
        </w:rPr>
      </w:pPr>
      <w:r w:rsidRPr="003C2A16">
        <w:rPr>
          <w:rFonts w:ascii="Kokila" w:hAnsi="Kokila" w:cs="Kokila"/>
          <w:i/>
          <w:iCs/>
          <w:sz w:val="28"/>
          <w:szCs w:val="28"/>
        </w:rPr>
        <w:t>Conversion</w:t>
      </w:r>
      <w:r>
        <w:rPr>
          <w:rFonts w:ascii="Kokila" w:hAnsi="Kokila" w:cs="Kokila"/>
          <w:i/>
          <w:iCs/>
          <w:sz w:val="28"/>
          <w:szCs w:val="28"/>
        </w:rPr>
        <w:t xml:space="preserve"> </w:t>
      </w:r>
      <w:r>
        <w:rPr>
          <w:rFonts w:ascii="Kokila" w:hAnsi="Kokila" w:cs="Kokila"/>
          <w:sz w:val="28"/>
          <w:szCs w:val="28"/>
        </w:rPr>
        <w:t xml:space="preserve">internalized, </w:t>
      </w:r>
      <w:r w:rsidR="00C76003">
        <w:rPr>
          <w:rFonts w:ascii="Kokila" w:hAnsi="Kokila" w:cs="Kokila"/>
          <w:sz w:val="28"/>
          <w:szCs w:val="28"/>
        </w:rPr>
        <w:t>native; one is “thinking and working in” the language and is “at home in the world [the view] helps to shape” (204)</w:t>
      </w:r>
      <w:r>
        <w:rPr>
          <w:rFonts w:ascii="Kokila" w:hAnsi="Kokila" w:cs="Kokila"/>
          <w:sz w:val="28"/>
          <w:szCs w:val="28"/>
        </w:rPr>
        <w:t>; gestalt switch</w:t>
      </w:r>
      <w:r w:rsidR="0062598E">
        <w:rPr>
          <w:rFonts w:ascii="Kokila" w:hAnsi="Kokila" w:cs="Kokila"/>
          <w:sz w:val="28"/>
          <w:szCs w:val="28"/>
        </w:rPr>
        <w:t xml:space="preserve"> (all at once)</w:t>
      </w:r>
      <w:r>
        <w:rPr>
          <w:rFonts w:ascii="Kokila" w:hAnsi="Kokila" w:cs="Kokila"/>
          <w:sz w:val="28"/>
          <w:szCs w:val="28"/>
        </w:rPr>
        <w:t>.</w:t>
      </w:r>
    </w:p>
    <w:p w14:paraId="1E7C52A5" w14:textId="13C40902" w:rsidR="00B36CBB" w:rsidRPr="00B36CBB" w:rsidRDefault="00B36CBB" w:rsidP="00B36CBB">
      <w:pPr>
        <w:rPr>
          <w:rFonts w:ascii="Kokila" w:hAnsi="Kokila" w:cs="Kokila"/>
          <w:b/>
          <w:bCs/>
          <w:sz w:val="28"/>
          <w:szCs w:val="28"/>
        </w:rPr>
      </w:pPr>
      <w:r>
        <w:rPr>
          <w:rFonts w:ascii="Kokila" w:hAnsi="Kokila" w:cs="Kokila"/>
          <w:b/>
          <w:bCs/>
          <w:sz w:val="28"/>
          <w:szCs w:val="28"/>
        </w:rPr>
        <w:t>(Returning to Resolution of Revolutions)</w:t>
      </w:r>
    </w:p>
    <w:p w14:paraId="59897614" w14:textId="2EA5B446" w:rsidR="00B36CBB" w:rsidRDefault="00B36CBB" w:rsidP="00B36CBB">
      <w:pPr>
        <w:spacing w:after="0"/>
        <w:rPr>
          <w:rFonts w:ascii="Kokila" w:hAnsi="Kokila" w:cs="Kokila"/>
          <w:sz w:val="28"/>
          <w:szCs w:val="28"/>
        </w:rPr>
      </w:pPr>
      <w:r>
        <w:rPr>
          <w:rFonts w:ascii="Kokila" w:hAnsi="Kokila" w:cs="Kokila"/>
          <w:sz w:val="28"/>
          <w:szCs w:val="28"/>
        </w:rPr>
        <w:t xml:space="preserve">Effective </w:t>
      </w:r>
      <w:r w:rsidR="003C4A3E">
        <w:rPr>
          <w:rFonts w:ascii="Kokila" w:hAnsi="Kokila" w:cs="Kokila"/>
          <w:sz w:val="28"/>
          <w:szCs w:val="28"/>
        </w:rPr>
        <w:t>means</w:t>
      </w:r>
      <w:r>
        <w:rPr>
          <w:rFonts w:ascii="Kokila" w:hAnsi="Kokila" w:cs="Kokila"/>
          <w:sz w:val="28"/>
          <w:szCs w:val="28"/>
        </w:rPr>
        <w:t xml:space="preserve"> for persuasion:</w:t>
      </w:r>
    </w:p>
    <w:p w14:paraId="0983C5CB" w14:textId="42640665" w:rsidR="00B36CBB" w:rsidRDefault="00B36CBB" w:rsidP="00B36CBB">
      <w:pPr>
        <w:pStyle w:val="ListParagraph"/>
        <w:numPr>
          <w:ilvl w:val="0"/>
          <w:numId w:val="4"/>
        </w:numPr>
        <w:rPr>
          <w:rFonts w:ascii="Kokila" w:hAnsi="Kokila" w:cs="Kokila"/>
          <w:sz w:val="28"/>
          <w:szCs w:val="28"/>
        </w:rPr>
      </w:pPr>
      <w:r>
        <w:rPr>
          <w:rFonts w:ascii="Kokila" w:hAnsi="Kokila" w:cs="Kokila"/>
          <w:sz w:val="28"/>
          <w:szCs w:val="28"/>
        </w:rPr>
        <w:t>New paradigm solves problems that led the old paradigm to crisis.</w:t>
      </w:r>
    </w:p>
    <w:p w14:paraId="12563BD8" w14:textId="095684E4" w:rsidR="001B110A" w:rsidRDefault="001B110A" w:rsidP="00B36CBB">
      <w:pPr>
        <w:pStyle w:val="ListParagraph"/>
        <w:numPr>
          <w:ilvl w:val="0"/>
          <w:numId w:val="4"/>
        </w:numPr>
        <w:rPr>
          <w:rFonts w:ascii="Kokila" w:hAnsi="Kokila" w:cs="Kokila"/>
          <w:sz w:val="28"/>
          <w:szCs w:val="28"/>
        </w:rPr>
      </w:pPr>
      <w:r>
        <w:rPr>
          <w:rFonts w:ascii="Kokila" w:hAnsi="Kokila" w:cs="Kokila"/>
          <w:sz w:val="28"/>
          <w:szCs w:val="28"/>
        </w:rPr>
        <w:t>New paradigm allows for predictions that were unsuspected under the old paradigm.</w:t>
      </w:r>
    </w:p>
    <w:p w14:paraId="2A29C6DF" w14:textId="5676ED8C" w:rsidR="003C4A3E" w:rsidRDefault="00242224" w:rsidP="003744BE">
      <w:pPr>
        <w:pStyle w:val="ListParagraph"/>
        <w:numPr>
          <w:ilvl w:val="0"/>
          <w:numId w:val="4"/>
        </w:numPr>
        <w:rPr>
          <w:rFonts w:ascii="Kokila" w:hAnsi="Kokila" w:cs="Kokila"/>
          <w:sz w:val="28"/>
          <w:szCs w:val="28"/>
        </w:rPr>
      </w:pPr>
      <w:r>
        <w:rPr>
          <w:rFonts w:ascii="Kokila" w:hAnsi="Kokila" w:cs="Kokila"/>
          <w:sz w:val="28"/>
          <w:szCs w:val="28"/>
        </w:rPr>
        <w:t>Aesthetics—the new paradigm is more simple, more neat, more suitable.</w:t>
      </w:r>
    </w:p>
    <w:p w14:paraId="2B840587" w14:textId="610D5C46" w:rsidR="003744BE" w:rsidRPr="003744BE" w:rsidRDefault="003744BE" w:rsidP="003744BE">
      <w:pPr>
        <w:pStyle w:val="ListParagraph"/>
        <w:numPr>
          <w:ilvl w:val="0"/>
          <w:numId w:val="4"/>
        </w:numPr>
        <w:rPr>
          <w:rFonts w:ascii="Kokila" w:hAnsi="Kokila" w:cs="Kokila"/>
          <w:sz w:val="28"/>
          <w:szCs w:val="28"/>
        </w:rPr>
      </w:pPr>
      <w:r>
        <w:rPr>
          <w:rFonts w:ascii="Kokila" w:hAnsi="Kokila" w:cs="Kokila"/>
          <w:sz w:val="28"/>
          <w:szCs w:val="28"/>
        </w:rPr>
        <w:t>Faith.</w:t>
      </w:r>
    </w:p>
    <w:p w14:paraId="0B670387" w14:textId="77777777" w:rsidR="003C4A3E" w:rsidRDefault="003C4A3E" w:rsidP="00242224">
      <w:pPr>
        <w:rPr>
          <w:rFonts w:ascii="Kokila" w:hAnsi="Kokila" w:cs="Kokila"/>
          <w:sz w:val="28"/>
          <w:szCs w:val="28"/>
        </w:rPr>
      </w:pPr>
      <w:r>
        <w:rPr>
          <w:rFonts w:ascii="Kokila" w:hAnsi="Kokila" w:cs="Kokila"/>
          <w:sz w:val="28"/>
          <w:szCs w:val="28"/>
        </w:rPr>
        <w:t>A</w:t>
      </w:r>
      <w:r w:rsidR="00E11E3D">
        <w:rPr>
          <w:rFonts w:ascii="Kokila" w:hAnsi="Kokila" w:cs="Kokila"/>
          <w:sz w:val="28"/>
          <w:szCs w:val="28"/>
        </w:rPr>
        <w:t xml:space="preserve">rguments are couched in terms of problem-solving ability but are really about future promise. </w:t>
      </w:r>
    </w:p>
    <w:p w14:paraId="6F87FC92" w14:textId="6778411E" w:rsidR="00242224" w:rsidRPr="00242224" w:rsidRDefault="00242224" w:rsidP="00242224">
      <w:pPr>
        <w:rPr>
          <w:rFonts w:ascii="Kokila" w:hAnsi="Kokila" w:cs="Kokila"/>
          <w:sz w:val="28"/>
          <w:szCs w:val="28"/>
        </w:rPr>
      </w:pPr>
      <w:r>
        <w:rPr>
          <w:rFonts w:ascii="Kokila" w:hAnsi="Kokila" w:cs="Kokila"/>
          <w:sz w:val="28"/>
          <w:szCs w:val="28"/>
        </w:rPr>
        <w:t>Decisive arguments are given post-revolution in textbooks.</w:t>
      </w:r>
    </w:p>
    <w:p w14:paraId="5FF71202" w14:textId="1362C304" w:rsidR="00AB60D2" w:rsidRPr="00AB60D2" w:rsidRDefault="00AB60D2" w:rsidP="00AB60D2">
      <w:pPr>
        <w:rPr>
          <w:rFonts w:ascii="Kokila" w:hAnsi="Kokila" w:cs="Kokila"/>
          <w:sz w:val="28"/>
          <w:szCs w:val="28"/>
        </w:rPr>
      </w:pPr>
      <w:r>
        <w:rPr>
          <w:rFonts w:ascii="Kokila" w:hAnsi="Kokila" w:cs="Kokila"/>
          <w:b/>
          <w:bCs/>
          <w:sz w:val="28"/>
          <w:szCs w:val="28"/>
        </w:rPr>
        <w:t>Revolutions and Relativism</w:t>
      </w:r>
    </w:p>
    <w:p w14:paraId="1571D133" w14:textId="16B2AF2D" w:rsidR="00B31AF9" w:rsidRDefault="00C76003" w:rsidP="00A04B81">
      <w:pPr>
        <w:spacing w:after="0"/>
        <w:rPr>
          <w:rFonts w:ascii="Kokila" w:hAnsi="Kokila" w:cs="Kokila"/>
          <w:sz w:val="28"/>
          <w:szCs w:val="28"/>
        </w:rPr>
      </w:pPr>
      <w:r>
        <w:rPr>
          <w:rFonts w:ascii="Kokila" w:hAnsi="Kokila" w:cs="Kokila"/>
          <w:sz w:val="28"/>
          <w:szCs w:val="28"/>
        </w:rPr>
        <w:t>That scientifi</w:t>
      </w:r>
      <w:r w:rsidR="00A04B81">
        <w:rPr>
          <w:rFonts w:ascii="Kokila" w:hAnsi="Kokila" w:cs="Kokila"/>
          <w:sz w:val="28"/>
          <w:szCs w:val="28"/>
        </w:rPr>
        <w:t>c communities are likened to language-culture communities suggests that both groups may be right, bringing charges of relativism. But Kuhn believes in scientific progress.</w:t>
      </w:r>
    </w:p>
    <w:p w14:paraId="7DF0E327" w14:textId="0785EFC2" w:rsidR="00AA6884" w:rsidRDefault="00AA6884" w:rsidP="00AA6884">
      <w:pPr>
        <w:pStyle w:val="ListParagraph"/>
        <w:numPr>
          <w:ilvl w:val="0"/>
          <w:numId w:val="3"/>
        </w:numPr>
        <w:rPr>
          <w:rFonts w:ascii="Kokila" w:hAnsi="Kokila" w:cs="Kokila"/>
          <w:sz w:val="28"/>
          <w:szCs w:val="28"/>
        </w:rPr>
      </w:pPr>
      <w:r>
        <w:rPr>
          <w:rFonts w:ascii="Kokila" w:hAnsi="Kokila" w:cs="Kokila"/>
          <w:sz w:val="28"/>
          <w:szCs w:val="28"/>
        </w:rPr>
        <w:t>Scientific progress is improvement in puzzle-discovering and puzzle-solving ability, not approximations to truth in terms of ontology.</w:t>
      </w:r>
    </w:p>
    <w:p w14:paraId="384BA7A4" w14:textId="4B4AC371" w:rsidR="000E6657" w:rsidRPr="000E6657" w:rsidRDefault="000E6657" w:rsidP="000E6657">
      <w:pPr>
        <w:pStyle w:val="ListParagraph"/>
        <w:numPr>
          <w:ilvl w:val="0"/>
          <w:numId w:val="3"/>
        </w:numPr>
        <w:spacing w:after="120"/>
        <w:rPr>
          <w:rFonts w:ascii="Kokila" w:hAnsi="Kokila" w:cs="Kokila"/>
          <w:sz w:val="28"/>
          <w:szCs w:val="28"/>
        </w:rPr>
      </w:pPr>
      <w:r>
        <w:rPr>
          <w:rFonts w:ascii="Kokila" w:hAnsi="Kokila" w:cs="Kokila"/>
          <w:sz w:val="28"/>
          <w:szCs w:val="28"/>
        </w:rPr>
        <w:t>Dominant criterion for theory comparison is the ability to set up and solve puzzles.</w:t>
      </w:r>
    </w:p>
    <w:p w14:paraId="17893E82" w14:textId="77777777" w:rsidR="00D13EA3" w:rsidRDefault="00136A85" w:rsidP="00D13EA3">
      <w:pPr>
        <w:spacing w:after="0"/>
        <w:ind w:left="360" w:hanging="360"/>
        <w:rPr>
          <w:rFonts w:ascii="Kokila" w:hAnsi="Kokila" w:cs="Kokila"/>
          <w:sz w:val="28"/>
          <w:szCs w:val="28"/>
        </w:rPr>
      </w:pPr>
      <w:r>
        <w:pict w14:anchorId="1D022712">
          <v:shape id="Picture 3" o:spid="_x0000_i1046" type="#_x0000_t75" alt="gem" style="width:14.4pt;height:13.2pt;visibility:visible;mso-wrap-style:square" o:bullet="t">
            <v:imagedata r:id="rId6" o:title="gem"/>
          </v:shape>
        </w:pict>
      </w:r>
      <w:r w:rsidR="00D64568" w:rsidRPr="00D67ED3">
        <w:rPr>
          <w:rFonts w:ascii="Kokila" w:hAnsi="Kokila" w:cs="Kokila"/>
          <w:sz w:val="28"/>
          <w:szCs w:val="28"/>
        </w:rPr>
        <w:t xml:space="preserve"> </w:t>
      </w:r>
      <w:r w:rsidR="00D67ED3" w:rsidRPr="00D67ED3">
        <w:rPr>
          <w:rFonts w:ascii="Kokila" w:hAnsi="Kokila" w:cs="Kokila"/>
          <w:sz w:val="28"/>
          <w:szCs w:val="28"/>
        </w:rPr>
        <w:t xml:space="preserve">Kuhn makes a number of seemingly empirical claims throughout these selections. </w:t>
      </w:r>
    </w:p>
    <w:p w14:paraId="67FC9371" w14:textId="77777777" w:rsidR="00D13EA3" w:rsidRDefault="00D13EA3" w:rsidP="00D13EA3">
      <w:pPr>
        <w:pStyle w:val="ListParagraph"/>
        <w:numPr>
          <w:ilvl w:val="0"/>
          <w:numId w:val="5"/>
        </w:numPr>
        <w:tabs>
          <w:tab w:val="num" w:pos="1080"/>
        </w:tabs>
        <w:rPr>
          <w:rFonts w:ascii="Kokila" w:hAnsi="Kokila" w:cs="Kokila"/>
          <w:sz w:val="28"/>
          <w:szCs w:val="28"/>
        </w:rPr>
      </w:pPr>
      <w:r w:rsidRPr="00D13EA3">
        <w:rPr>
          <w:rFonts w:ascii="Kokila" w:hAnsi="Kokila" w:cs="Kokila"/>
          <w:sz w:val="28"/>
          <w:szCs w:val="28"/>
        </w:rPr>
        <w:t>W</w:t>
      </w:r>
      <w:r w:rsidR="00D67ED3" w:rsidRPr="00D13EA3">
        <w:rPr>
          <w:rFonts w:ascii="Kokila" w:hAnsi="Kokila" w:cs="Kokila"/>
          <w:sz w:val="28"/>
          <w:szCs w:val="28"/>
        </w:rPr>
        <w:t>e should be able to look through textbooks pre- and post-revolution to determine that they truly render revolutions invisible.</w:t>
      </w:r>
    </w:p>
    <w:p w14:paraId="0EA52126" w14:textId="6DE7C25B" w:rsidR="00D13EA3" w:rsidRPr="00D13EA3" w:rsidRDefault="00D67ED3" w:rsidP="00D13EA3">
      <w:pPr>
        <w:pStyle w:val="ListParagraph"/>
        <w:numPr>
          <w:ilvl w:val="0"/>
          <w:numId w:val="5"/>
        </w:numPr>
        <w:tabs>
          <w:tab w:val="num" w:pos="1080"/>
        </w:tabs>
        <w:spacing w:after="0"/>
        <w:rPr>
          <w:rFonts w:ascii="Kokila" w:hAnsi="Kokila" w:cs="Kokila"/>
          <w:sz w:val="28"/>
          <w:szCs w:val="28"/>
        </w:rPr>
      </w:pPr>
      <w:r w:rsidRPr="00D13EA3">
        <w:rPr>
          <w:rFonts w:ascii="Kokila" w:hAnsi="Kokila" w:cs="Kokila"/>
          <w:sz w:val="28"/>
          <w:szCs w:val="28"/>
        </w:rPr>
        <w:lastRenderedPageBreak/>
        <w:t>“Considering any two such theories [related by descent], chosen from points not too near their origin, it should be easy to design a list of criteria that would enable an uncommitted observer to distinguish the earlier from the more recent theory”</w:t>
      </w:r>
      <w:r w:rsidR="00D13EA3">
        <w:rPr>
          <w:rFonts w:ascii="Kokila" w:hAnsi="Kokila" w:cs="Kokila"/>
          <w:sz w:val="28"/>
          <w:szCs w:val="28"/>
        </w:rPr>
        <w:t xml:space="preserve"> (</w:t>
      </w:r>
      <w:r w:rsidRPr="00D13EA3">
        <w:rPr>
          <w:rFonts w:ascii="Kokila" w:hAnsi="Kokila" w:cs="Kokila"/>
          <w:sz w:val="28"/>
          <w:szCs w:val="28"/>
        </w:rPr>
        <w:t xml:space="preserve"> </w:t>
      </w:r>
      <w:r w:rsidR="00D13EA3" w:rsidRPr="00D13EA3">
        <w:rPr>
          <w:rFonts w:ascii="Kokila" w:hAnsi="Kokila" w:cs="Kokila"/>
          <w:sz w:val="28"/>
          <w:szCs w:val="28"/>
        </w:rPr>
        <w:t>205f</w:t>
      </w:r>
      <w:r w:rsidR="00D13EA3">
        <w:rPr>
          <w:rFonts w:ascii="Kokila" w:hAnsi="Kokila" w:cs="Kokila"/>
          <w:sz w:val="28"/>
          <w:szCs w:val="28"/>
        </w:rPr>
        <w:t>).</w:t>
      </w:r>
      <w:r w:rsidR="00D13EA3" w:rsidRPr="00D13EA3">
        <w:rPr>
          <w:rFonts w:ascii="Kokila" w:hAnsi="Kokila" w:cs="Kokila"/>
          <w:sz w:val="28"/>
          <w:szCs w:val="28"/>
        </w:rPr>
        <w:t xml:space="preserve"> </w:t>
      </w:r>
      <w:r w:rsidRPr="00D13EA3">
        <w:rPr>
          <w:rFonts w:ascii="Kokila" w:hAnsi="Kokila" w:cs="Kokila"/>
          <w:sz w:val="28"/>
          <w:szCs w:val="28"/>
        </w:rPr>
        <w:t xml:space="preserve">This is followed by examples of such distinguishing criteria. </w:t>
      </w:r>
    </w:p>
    <w:p w14:paraId="06699D78" w14:textId="77777777" w:rsidR="00D13EA3" w:rsidRDefault="0071518F" w:rsidP="00D13EA3">
      <w:pPr>
        <w:pStyle w:val="ListParagraph"/>
        <w:numPr>
          <w:ilvl w:val="0"/>
          <w:numId w:val="5"/>
        </w:numPr>
        <w:tabs>
          <w:tab w:val="num" w:pos="1080"/>
        </w:tabs>
        <w:spacing w:after="0"/>
        <w:rPr>
          <w:rFonts w:ascii="Kokila" w:hAnsi="Kokila" w:cs="Kokila"/>
          <w:sz w:val="28"/>
          <w:szCs w:val="28"/>
        </w:rPr>
      </w:pPr>
      <w:r w:rsidRPr="00D13EA3">
        <w:rPr>
          <w:rFonts w:ascii="Kokila" w:hAnsi="Kokila" w:cs="Kokila"/>
          <w:sz w:val="28"/>
          <w:szCs w:val="28"/>
        </w:rPr>
        <w:t xml:space="preserve">“Translation may, in addition, provide points of entry for the neural reprogramming that, however inscrutable at this time, must underlie conversion” (204). </w:t>
      </w:r>
    </w:p>
    <w:p w14:paraId="640618D3" w14:textId="011E6732" w:rsidR="00D64568" w:rsidRPr="00D13EA3" w:rsidRDefault="00D67ED3" w:rsidP="00D13EA3">
      <w:pPr>
        <w:tabs>
          <w:tab w:val="num" w:pos="1080"/>
        </w:tabs>
        <w:ind w:left="720"/>
        <w:rPr>
          <w:rFonts w:ascii="Kokila" w:hAnsi="Kokila" w:cs="Kokila"/>
          <w:sz w:val="28"/>
          <w:szCs w:val="28"/>
        </w:rPr>
      </w:pPr>
      <w:r w:rsidRPr="00D13EA3">
        <w:rPr>
          <w:rFonts w:ascii="Kokila" w:hAnsi="Kokila" w:cs="Kokila"/>
          <w:sz w:val="28"/>
          <w:szCs w:val="28"/>
        </w:rPr>
        <w:t xml:space="preserve">It would be interesting to see if these claims have found support. </w:t>
      </w:r>
    </w:p>
    <w:p w14:paraId="4D4114BA" w14:textId="4AF3C098" w:rsidR="00F737B7" w:rsidRDefault="00F737B7" w:rsidP="00600F5A">
      <w:pPr>
        <w:ind w:left="360" w:hanging="360"/>
        <w:rPr>
          <w:rFonts w:ascii="Kokila" w:hAnsi="Kokila" w:cs="Kokila"/>
          <w:b/>
          <w:bCs/>
          <w:sz w:val="28"/>
          <w:szCs w:val="28"/>
        </w:rPr>
      </w:pPr>
      <w:r>
        <w:rPr>
          <w:rFonts w:ascii="Kokila" w:hAnsi="Kokila" w:cs="Kokila"/>
          <w:b/>
          <w:bCs/>
          <w:sz w:val="28"/>
          <w:szCs w:val="28"/>
        </w:rPr>
        <w:t>Discussion Questions</w:t>
      </w:r>
    </w:p>
    <w:p w14:paraId="27A72240" w14:textId="1A945513" w:rsidR="00D67ED3" w:rsidRDefault="00D67ED3" w:rsidP="00F737B7">
      <w:pPr>
        <w:pStyle w:val="ListParagraph"/>
        <w:numPr>
          <w:ilvl w:val="0"/>
          <w:numId w:val="2"/>
        </w:numPr>
        <w:rPr>
          <w:rFonts w:ascii="Kokila" w:hAnsi="Kokila" w:cs="Kokila"/>
          <w:sz w:val="28"/>
          <w:szCs w:val="28"/>
        </w:rPr>
      </w:pPr>
      <w:r>
        <w:rPr>
          <w:rFonts w:ascii="Kokila" w:hAnsi="Kokila" w:cs="Kokila"/>
          <w:sz w:val="28"/>
          <w:szCs w:val="28"/>
        </w:rPr>
        <w:t>“</w:t>
      </w:r>
      <w:r w:rsidR="00AB60D2">
        <w:rPr>
          <w:rFonts w:ascii="Kokila" w:hAnsi="Kokila" w:cs="Kokila"/>
          <w:sz w:val="28"/>
          <w:szCs w:val="28"/>
        </w:rPr>
        <w:t xml:space="preserve">…at </w:t>
      </w:r>
      <w:r>
        <w:rPr>
          <w:rFonts w:ascii="Kokila" w:hAnsi="Kokila" w:cs="Kokila"/>
          <w:sz w:val="28"/>
          <w:szCs w:val="28"/>
        </w:rPr>
        <w:t>times of theory-choice</w:t>
      </w:r>
      <w:r w:rsidR="00AB60D2">
        <w:rPr>
          <w:rFonts w:ascii="Kokila" w:hAnsi="Kokila" w:cs="Kokila"/>
          <w:sz w:val="28"/>
          <w:szCs w:val="28"/>
        </w:rPr>
        <w:t xml:space="preserve"> […]</w:t>
      </w:r>
      <w:r>
        <w:rPr>
          <w:rFonts w:ascii="Kokila" w:hAnsi="Kokila" w:cs="Kokila"/>
          <w:sz w:val="28"/>
          <w:szCs w:val="28"/>
        </w:rPr>
        <w:t xml:space="preserve">, the demonstrated ability to set up and to solve puzzles presented by nature is, in case of value conflict, the dominant criterion for most members of a scientific group” (205). </w:t>
      </w:r>
      <w:r w:rsidR="00C50DB1">
        <w:rPr>
          <w:rFonts w:ascii="Kokila" w:hAnsi="Kokila" w:cs="Kokila"/>
          <w:sz w:val="28"/>
          <w:szCs w:val="28"/>
        </w:rPr>
        <w:t xml:space="preserve">Given that the incommensurability thesis extends to problems and problem-solutions, should we understand this as a non-decisive and possibly mistaken criterion that scientists use? </w:t>
      </w:r>
      <w:r w:rsidR="005B45F3">
        <w:rPr>
          <w:rFonts w:ascii="Kokila" w:hAnsi="Kokila" w:cs="Kokila"/>
          <w:sz w:val="28"/>
          <w:szCs w:val="28"/>
        </w:rPr>
        <w:t xml:space="preserve">Moreover, how can we make sense of this in light of what Kuhn says about paradigm debates: “the issue is which paradigm should in the future guide research on problems many of which neither competitor can yet claim to resolve completely” (157)? </w:t>
      </w:r>
      <w:r w:rsidR="003744BE">
        <w:rPr>
          <w:rFonts w:ascii="Kokila" w:hAnsi="Kokila" w:cs="Kokila"/>
          <w:sz w:val="28"/>
          <w:szCs w:val="28"/>
        </w:rPr>
        <w:t xml:space="preserve"> </w:t>
      </w:r>
    </w:p>
    <w:p w14:paraId="143FCC60" w14:textId="13B8BC7C" w:rsidR="0071518F" w:rsidRDefault="0071518F" w:rsidP="00F737B7">
      <w:pPr>
        <w:pStyle w:val="ListParagraph"/>
        <w:numPr>
          <w:ilvl w:val="0"/>
          <w:numId w:val="2"/>
        </w:numPr>
        <w:rPr>
          <w:rFonts w:ascii="Kokila" w:hAnsi="Kokila" w:cs="Kokila"/>
          <w:sz w:val="28"/>
          <w:szCs w:val="28"/>
        </w:rPr>
      </w:pPr>
      <w:r>
        <w:rPr>
          <w:rFonts w:ascii="Kokila" w:hAnsi="Kokila" w:cs="Kokila"/>
          <w:sz w:val="28"/>
          <w:szCs w:val="28"/>
        </w:rPr>
        <w:t xml:space="preserve">Scientific communities have incommensurable viewpoints—they </w:t>
      </w:r>
      <w:r w:rsidR="00F86FDA">
        <w:rPr>
          <w:rFonts w:ascii="Kokila" w:hAnsi="Kokila" w:cs="Kokila"/>
          <w:sz w:val="28"/>
          <w:szCs w:val="28"/>
        </w:rPr>
        <w:t>perceive</w:t>
      </w:r>
      <w:r>
        <w:rPr>
          <w:rFonts w:ascii="Kokila" w:hAnsi="Kokila" w:cs="Kokila"/>
          <w:sz w:val="28"/>
          <w:szCs w:val="28"/>
        </w:rPr>
        <w:t xml:space="preserve"> experimental</w:t>
      </w:r>
      <w:r w:rsidR="00F86FDA">
        <w:rPr>
          <w:rFonts w:ascii="Kokila" w:hAnsi="Kokila" w:cs="Kokila"/>
          <w:sz w:val="28"/>
          <w:szCs w:val="28"/>
        </w:rPr>
        <w:t xml:space="preserve"> or </w:t>
      </w:r>
      <w:r>
        <w:rPr>
          <w:rFonts w:ascii="Kokila" w:hAnsi="Kokila" w:cs="Kokila"/>
          <w:sz w:val="28"/>
          <w:szCs w:val="28"/>
        </w:rPr>
        <w:t>observational situations differently</w:t>
      </w:r>
      <w:r w:rsidR="000E6657">
        <w:rPr>
          <w:rFonts w:ascii="Kokila" w:hAnsi="Kokila" w:cs="Kokila"/>
          <w:sz w:val="28"/>
          <w:szCs w:val="28"/>
        </w:rPr>
        <w:t xml:space="preserve"> (200)</w:t>
      </w:r>
      <w:r>
        <w:rPr>
          <w:rFonts w:ascii="Kokila" w:hAnsi="Kokila" w:cs="Kokila"/>
          <w:sz w:val="28"/>
          <w:szCs w:val="28"/>
        </w:rPr>
        <w:t xml:space="preserve">—but use many of the same terms, implying that these terms attach to nature differently. What are the limits of seeing situations differently that makes this a problem unique to science but not a problem </w:t>
      </w:r>
      <w:r w:rsidRPr="00C75A4C">
        <w:rPr>
          <w:rFonts w:ascii="Kokila" w:hAnsi="Kokila" w:cs="Kokila"/>
          <w:i/>
          <w:iCs/>
          <w:sz w:val="28"/>
          <w:szCs w:val="28"/>
        </w:rPr>
        <w:t>within</w:t>
      </w:r>
      <w:r>
        <w:rPr>
          <w:rFonts w:ascii="Kokila" w:hAnsi="Kokila" w:cs="Kokila"/>
          <w:sz w:val="28"/>
          <w:szCs w:val="28"/>
        </w:rPr>
        <w:t xml:space="preserve"> any scientific community?</w:t>
      </w:r>
    </w:p>
    <w:p w14:paraId="21EA33A3" w14:textId="1668973F" w:rsidR="0071518F" w:rsidRPr="004A4DA6" w:rsidRDefault="004A4DA6" w:rsidP="004A4DA6">
      <w:pPr>
        <w:pStyle w:val="ListParagraph"/>
        <w:numPr>
          <w:ilvl w:val="0"/>
          <w:numId w:val="2"/>
        </w:numPr>
        <w:rPr>
          <w:rFonts w:ascii="Kokila" w:hAnsi="Kokila" w:cs="Kokila"/>
          <w:sz w:val="28"/>
          <w:szCs w:val="28"/>
        </w:rPr>
      </w:pPr>
      <w:r>
        <w:rPr>
          <w:rFonts w:ascii="Kokila" w:hAnsi="Kokila" w:cs="Kokila"/>
          <w:sz w:val="28"/>
          <w:szCs w:val="28"/>
        </w:rPr>
        <w:t>Persuasion “comes particularly easily to [people]</w:t>
      </w:r>
      <w:r w:rsidRPr="004A4DA6">
        <w:rPr>
          <w:rFonts w:ascii="Kokila" w:hAnsi="Kokila" w:cs="Kokila"/>
          <w:sz w:val="28"/>
          <w:szCs w:val="28"/>
        </w:rPr>
        <w:t xml:space="preserve"> just entering the profession, for they have not yet acquired the special vocabularies and commitments of either group” (203). How are we to think of this given what was said about textbooks and the invisibility of revolutions? </w:t>
      </w:r>
      <w:r>
        <w:rPr>
          <w:rFonts w:ascii="Kokila" w:hAnsi="Kokila" w:cs="Kokila"/>
          <w:sz w:val="28"/>
          <w:szCs w:val="28"/>
        </w:rPr>
        <w:t xml:space="preserve">Wouldn’t </w:t>
      </w:r>
      <w:r w:rsidR="002806CE">
        <w:rPr>
          <w:rFonts w:ascii="Kokila" w:hAnsi="Kokila" w:cs="Kokila"/>
          <w:sz w:val="28"/>
          <w:szCs w:val="28"/>
        </w:rPr>
        <w:t xml:space="preserve">their </w:t>
      </w:r>
      <w:r>
        <w:rPr>
          <w:rFonts w:ascii="Kokila" w:hAnsi="Kokila" w:cs="Kokila"/>
          <w:sz w:val="28"/>
          <w:szCs w:val="28"/>
        </w:rPr>
        <w:t xml:space="preserve">textbooks </w:t>
      </w:r>
      <w:r w:rsidR="002806CE">
        <w:rPr>
          <w:rFonts w:ascii="Kokila" w:hAnsi="Kokila" w:cs="Kokila"/>
          <w:sz w:val="28"/>
          <w:szCs w:val="28"/>
        </w:rPr>
        <w:t xml:space="preserve">be </w:t>
      </w:r>
      <w:r>
        <w:rPr>
          <w:rFonts w:ascii="Kokila" w:hAnsi="Kokila" w:cs="Kokila"/>
          <w:sz w:val="28"/>
          <w:szCs w:val="28"/>
        </w:rPr>
        <w:t>in one of th</w:t>
      </w:r>
      <w:r w:rsidR="002806CE">
        <w:rPr>
          <w:rFonts w:ascii="Kokila" w:hAnsi="Kokila" w:cs="Kokila"/>
          <w:sz w:val="28"/>
          <w:szCs w:val="28"/>
        </w:rPr>
        <w:t>e</w:t>
      </w:r>
      <w:r>
        <w:rPr>
          <w:rFonts w:ascii="Kokila" w:hAnsi="Kokila" w:cs="Kokila"/>
          <w:sz w:val="28"/>
          <w:szCs w:val="28"/>
        </w:rPr>
        <w:t>se vocabularies?</w:t>
      </w:r>
      <w:r w:rsidR="002806CE">
        <w:rPr>
          <w:rFonts w:ascii="Kokila" w:hAnsi="Kokila" w:cs="Kokila"/>
          <w:sz w:val="28"/>
          <w:szCs w:val="28"/>
        </w:rPr>
        <w:t xml:space="preserve"> But do persuaded scientists have a paradigm?</w:t>
      </w:r>
    </w:p>
    <w:p w14:paraId="7D71E66F" w14:textId="77777777" w:rsidR="001F618F" w:rsidRPr="008D70D0" w:rsidRDefault="001F618F" w:rsidP="00600F5A">
      <w:pPr>
        <w:ind w:left="360" w:hanging="360"/>
        <w:rPr>
          <w:rFonts w:ascii="Kokila" w:hAnsi="Kokila" w:cs="Kokila"/>
          <w:sz w:val="28"/>
          <w:szCs w:val="28"/>
        </w:rPr>
      </w:pPr>
    </w:p>
    <w:p w14:paraId="468B0207" w14:textId="77777777" w:rsidR="007C7566" w:rsidRPr="007C7566" w:rsidRDefault="007C7566" w:rsidP="007C7566">
      <w:pPr>
        <w:jc w:val="right"/>
        <w:rPr>
          <w:rFonts w:ascii="Kokila" w:hAnsi="Kokila" w:cs="Kokila"/>
          <w:sz w:val="30"/>
          <w:szCs w:val="30"/>
        </w:rPr>
      </w:pPr>
    </w:p>
    <w:sectPr w:rsidR="007C7566" w:rsidRPr="007C7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okila">
    <w:altName w:val="Kokila"/>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73" type="#_x0000_t75" alt="gem" style="width:15pt;height:13.8pt;visibility:visible;mso-wrap-style:square" o:bullet="t">
        <v:imagedata r:id="rId1" o:title="gem"/>
      </v:shape>
    </w:pict>
  </w:numPicBullet>
  <w:numPicBullet w:numPicBulletId="1">
    <w:pict>
      <v:shape id="_x0000_i1574" type="#_x0000_t75" alt="gem" style="width:14.4pt;height:13.2pt;visibility:visible;mso-wrap-style:square" o:bullet="t">
        <v:imagedata r:id="rId2" o:title="gem"/>
      </v:shape>
    </w:pict>
  </w:numPicBullet>
  <w:abstractNum w:abstractNumId="0" w15:restartNumberingAfterBreak="0">
    <w:nsid w:val="0C93146D"/>
    <w:multiLevelType w:val="hybridMultilevel"/>
    <w:tmpl w:val="62E66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70391"/>
    <w:multiLevelType w:val="hybridMultilevel"/>
    <w:tmpl w:val="1BD07B2C"/>
    <w:lvl w:ilvl="0" w:tplc="83AE30A4">
      <w:start w:val="200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7F1C34"/>
    <w:multiLevelType w:val="hybridMultilevel"/>
    <w:tmpl w:val="F5684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2D09F9"/>
    <w:multiLevelType w:val="hybridMultilevel"/>
    <w:tmpl w:val="8C5658CA"/>
    <w:lvl w:ilvl="0" w:tplc="83AE30A4">
      <w:start w:val="2008"/>
      <w:numFmt w:val="bullet"/>
      <w:lvlText w:val="-"/>
      <w:lvlJc w:val="left"/>
      <w:pPr>
        <w:ind w:left="720" w:hanging="360"/>
      </w:pPr>
      <w:rPr>
        <w:rFonts w:ascii="Calibri" w:eastAsiaTheme="minorHAnsi" w:hAnsi="Calibri" w:cs="Calibri" w:hint="default"/>
      </w:rPr>
    </w:lvl>
    <w:lvl w:ilvl="1" w:tplc="83AE30A4">
      <w:start w:val="2008"/>
      <w:numFmt w:val="bullet"/>
      <w:lvlText w:val="-"/>
      <w:lvlJc w:val="left"/>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0B66E0"/>
    <w:multiLevelType w:val="hybridMultilevel"/>
    <w:tmpl w:val="FC92142C"/>
    <w:lvl w:ilvl="0" w:tplc="83AE30A4">
      <w:start w:val="20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02"/>
    <w:rsid w:val="000C15A5"/>
    <w:rsid w:val="000E6657"/>
    <w:rsid w:val="00105EF3"/>
    <w:rsid w:val="00121F9E"/>
    <w:rsid w:val="00136A85"/>
    <w:rsid w:val="001B110A"/>
    <w:rsid w:val="001F618F"/>
    <w:rsid w:val="002403FE"/>
    <w:rsid w:val="00242224"/>
    <w:rsid w:val="002806CE"/>
    <w:rsid w:val="002F5EB6"/>
    <w:rsid w:val="003744BE"/>
    <w:rsid w:val="003C2A16"/>
    <w:rsid w:val="003C4A3E"/>
    <w:rsid w:val="0040020A"/>
    <w:rsid w:val="00416873"/>
    <w:rsid w:val="00463B73"/>
    <w:rsid w:val="00475A1A"/>
    <w:rsid w:val="004A4DA6"/>
    <w:rsid w:val="004B5EBF"/>
    <w:rsid w:val="0050309E"/>
    <w:rsid w:val="005B45F3"/>
    <w:rsid w:val="00600F5A"/>
    <w:rsid w:val="0062598E"/>
    <w:rsid w:val="0071518F"/>
    <w:rsid w:val="007C7566"/>
    <w:rsid w:val="008D70D0"/>
    <w:rsid w:val="009769F7"/>
    <w:rsid w:val="00990B56"/>
    <w:rsid w:val="009C1A05"/>
    <w:rsid w:val="009C28BA"/>
    <w:rsid w:val="009E0702"/>
    <w:rsid w:val="00A04B81"/>
    <w:rsid w:val="00A33E4C"/>
    <w:rsid w:val="00AA6884"/>
    <w:rsid w:val="00AB60D2"/>
    <w:rsid w:val="00AD7E79"/>
    <w:rsid w:val="00B31AF9"/>
    <w:rsid w:val="00B36CBB"/>
    <w:rsid w:val="00BB52CB"/>
    <w:rsid w:val="00BD7437"/>
    <w:rsid w:val="00BE45F7"/>
    <w:rsid w:val="00C12B79"/>
    <w:rsid w:val="00C2175D"/>
    <w:rsid w:val="00C50DB1"/>
    <w:rsid w:val="00C75A4C"/>
    <w:rsid w:val="00C76003"/>
    <w:rsid w:val="00C96686"/>
    <w:rsid w:val="00D051A6"/>
    <w:rsid w:val="00D10B25"/>
    <w:rsid w:val="00D1259A"/>
    <w:rsid w:val="00D13EA3"/>
    <w:rsid w:val="00D14ED5"/>
    <w:rsid w:val="00D20B6C"/>
    <w:rsid w:val="00D34A19"/>
    <w:rsid w:val="00D62F7B"/>
    <w:rsid w:val="00D64568"/>
    <w:rsid w:val="00D67ED3"/>
    <w:rsid w:val="00DC190C"/>
    <w:rsid w:val="00E04FCC"/>
    <w:rsid w:val="00E11E3D"/>
    <w:rsid w:val="00E3431B"/>
    <w:rsid w:val="00F23DB5"/>
    <w:rsid w:val="00F47E4C"/>
    <w:rsid w:val="00F52DF9"/>
    <w:rsid w:val="00F737B7"/>
    <w:rsid w:val="00F8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570D1"/>
  <w15:chartTrackingRefBased/>
  <w15:docId w15:val="{11D077E2-BF2B-4346-89B0-E211FC2E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939</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Mace</dc:creator>
  <cp:keywords/>
  <dc:description/>
  <cp:lastModifiedBy>Caitlin Mace</cp:lastModifiedBy>
  <cp:revision>16</cp:revision>
  <dcterms:created xsi:type="dcterms:W3CDTF">2022-01-30T14:01:00Z</dcterms:created>
  <dcterms:modified xsi:type="dcterms:W3CDTF">2022-02-02T14:42:00Z</dcterms:modified>
</cp:coreProperties>
</file>